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r w:rsidRPr="007B3AEF">
        <w:rPr>
          <w:rFonts w:ascii="Cambria" w:hAnsi="Cambria"/>
          <w:b/>
          <w:i/>
          <w:noProof/>
          <w:color w:val="000000"/>
          <w:sz w:val="28"/>
          <w:szCs w:val="28"/>
        </w:rPr>
        <w:drawing>
          <wp:anchor distT="0" distB="0" distL="114300" distR="114300" simplePos="0" relativeHeight="251660288" behindDoc="0" locked="0" layoutInCell="1" allowOverlap="1" wp14:anchorId="28BC7380" wp14:editId="60A7BFE7">
            <wp:simplePos x="0" y="0"/>
            <wp:positionH relativeFrom="margin">
              <wp:align>center</wp:align>
            </wp:positionH>
            <wp:positionV relativeFrom="page">
              <wp:posOffset>1952625</wp:posOffset>
            </wp:positionV>
            <wp:extent cx="2114550" cy="2162175"/>
            <wp:effectExtent l="0" t="0" r="0" b="9525"/>
            <wp:wrapSquare wrapText="bothSides"/>
            <wp:docPr id="33" name="Imagen 33" descr="C:\Instituto PNA\Proyecto de Investigacion\LogoAs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stituto PNA\Proyecto de Investigacion\LogoAss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162175"/>
                    </a:xfrm>
                    <a:prstGeom prst="rect">
                      <a:avLst/>
                    </a:prstGeom>
                    <a:noFill/>
                    <a:ln>
                      <a:noFill/>
                    </a:ln>
                  </pic:spPr>
                </pic:pic>
              </a:graphicData>
            </a:graphic>
          </wp:anchor>
        </w:drawing>
      </w: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9A03B8" w:rsidRDefault="009A03B8"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bookmarkStart w:id="0" w:name="_GoBack"/>
      <w:bookmarkEnd w:id="0"/>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4354BD" w:rsidRDefault="004354BD"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r>
        <w:rPr>
          <w:rFonts w:ascii="Cambria" w:hAnsi="Cambria"/>
          <w:b/>
          <w:i/>
          <w:color w:val="000000"/>
          <w:sz w:val="28"/>
          <w:szCs w:val="28"/>
        </w:rPr>
        <w:t>INVESTIGACION</w:t>
      </w:r>
    </w:p>
    <w:p w:rsidR="004354BD" w:rsidRDefault="004354BD"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4354BD"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r>
        <w:rPr>
          <w:rFonts w:ascii="Cambria" w:hAnsi="Cambria"/>
          <w:b/>
          <w:i/>
          <w:color w:val="000000"/>
          <w:sz w:val="28"/>
          <w:szCs w:val="28"/>
        </w:rPr>
        <w:t>Construcción del Í</w:t>
      </w:r>
      <w:r w:rsidRPr="00123F85">
        <w:rPr>
          <w:rFonts w:ascii="Cambria" w:hAnsi="Cambria"/>
          <w:b/>
          <w:i/>
          <w:color w:val="000000"/>
          <w:sz w:val="28"/>
          <w:szCs w:val="28"/>
        </w:rPr>
        <w:t>ndice</w:t>
      </w:r>
      <w:r w:rsidR="00B42455" w:rsidRPr="00123F85">
        <w:rPr>
          <w:rFonts w:ascii="Cambria" w:hAnsi="Cambria"/>
          <w:b/>
          <w:i/>
          <w:color w:val="000000"/>
          <w:sz w:val="28"/>
          <w:szCs w:val="28"/>
        </w:rPr>
        <w:t xml:space="preserve"> Nacional de Actividad Fluvial y Marítima.</w:t>
      </w:r>
    </w:p>
    <w:p w:rsidR="00B42455" w:rsidRPr="00123F85" w:rsidRDefault="00B42455" w:rsidP="00B42455">
      <w:pPr>
        <w:pStyle w:val="capital"/>
        <w:shd w:val="clear" w:color="auto" w:fill="FFFFFF"/>
        <w:spacing w:before="0" w:beforeAutospacing="0" w:after="0" w:afterAutospacing="0"/>
        <w:jc w:val="center"/>
        <w:textAlignment w:val="baseline"/>
        <w:rPr>
          <w:rFonts w:ascii="Cambria" w:hAnsi="Cambria"/>
          <w:b/>
          <w:i/>
          <w:color w:val="000000"/>
          <w:sz w:val="28"/>
          <w:szCs w:val="28"/>
        </w:rPr>
      </w:pPr>
    </w:p>
    <w:p w:rsidR="00B42455" w:rsidRDefault="00B42455" w:rsidP="00B42455">
      <w:pPr>
        <w:spacing w:after="0" w:line="240" w:lineRule="auto"/>
        <w:jc w:val="center"/>
        <w:rPr>
          <w:rFonts w:ascii="Cambria" w:hAnsi="Cambria"/>
          <w:b/>
          <w:sz w:val="24"/>
          <w:szCs w:val="24"/>
        </w:rPr>
      </w:pPr>
      <w:r w:rsidRPr="006E5D49">
        <w:rPr>
          <w:rFonts w:ascii="Cambria" w:hAnsi="Cambria"/>
          <w:b/>
          <w:sz w:val="24"/>
          <w:szCs w:val="24"/>
        </w:rPr>
        <w:t>“</w:t>
      </w:r>
      <w:r>
        <w:rPr>
          <w:rFonts w:ascii="Cambria" w:hAnsi="Cambria"/>
          <w:b/>
          <w:sz w:val="24"/>
          <w:szCs w:val="24"/>
        </w:rPr>
        <w:t xml:space="preserve"> Construcción del Índice Nacional de Actividad Fluvial y </w:t>
      </w:r>
      <w:r w:rsidR="00D2762C">
        <w:rPr>
          <w:rFonts w:ascii="Cambria" w:hAnsi="Cambria"/>
          <w:b/>
          <w:sz w:val="24"/>
          <w:szCs w:val="24"/>
        </w:rPr>
        <w:t xml:space="preserve">Marítimo (AFM), </w:t>
      </w:r>
      <w:r>
        <w:rPr>
          <w:rFonts w:ascii="Cambria" w:hAnsi="Cambria"/>
          <w:b/>
          <w:sz w:val="24"/>
          <w:szCs w:val="24"/>
        </w:rPr>
        <w:t xml:space="preserve">estudio de </w:t>
      </w:r>
      <w:r w:rsidRPr="006E5D49">
        <w:rPr>
          <w:rFonts w:ascii="Cambria" w:hAnsi="Cambria"/>
          <w:b/>
          <w:sz w:val="24"/>
          <w:szCs w:val="24"/>
        </w:rPr>
        <w:t xml:space="preserve">la Elasticidad </w:t>
      </w:r>
      <w:r>
        <w:rPr>
          <w:rFonts w:ascii="Cambria" w:hAnsi="Cambria"/>
          <w:b/>
          <w:sz w:val="24"/>
          <w:szCs w:val="24"/>
        </w:rPr>
        <w:t>de la Serie de tiempo conformada r</w:t>
      </w:r>
      <w:r w:rsidRPr="006E5D49">
        <w:rPr>
          <w:rFonts w:ascii="Cambria" w:hAnsi="Cambria"/>
          <w:b/>
          <w:sz w:val="24"/>
          <w:szCs w:val="24"/>
        </w:rPr>
        <w:t>especto al Estimador Mensual de Actividad Económica</w:t>
      </w:r>
      <w:r>
        <w:rPr>
          <w:rFonts w:ascii="Cambria" w:hAnsi="Cambria"/>
          <w:b/>
          <w:sz w:val="24"/>
          <w:szCs w:val="24"/>
        </w:rPr>
        <w:t xml:space="preserve"> EMAE, el</w:t>
      </w:r>
      <w:r w:rsidRPr="006E5D49">
        <w:rPr>
          <w:rFonts w:ascii="Cambria" w:hAnsi="Cambria"/>
          <w:b/>
          <w:sz w:val="24"/>
          <w:szCs w:val="24"/>
        </w:rPr>
        <w:t xml:space="preserve"> Tipo de Cambio y su Importancia en la Evaluación de Inversiones</w:t>
      </w:r>
      <w:r>
        <w:rPr>
          <w:rFonts w:ascii="Cambria" w:hAnsi="Cambria"/>
          <w:b/>
          <w:sz w:val="24"/>
          <w:szCs w:val="24"/>
        </w:rPr>
        <w:t xml:space="preserve"> Públicas y Privadas</w:t>
      </w:r>
      <w:r w:rsidR="00D2762C">
        <w:rPr>
          <w:rFonts w:ascii="Cambria" w:hAnsi="Cambria"/>
          <w:b/>
          <w:sz w:val="24"/>
          <w:szCs w:val="24"/>
        </w:rPr>
        <w:t xml:space="preserve"> con relación al Comercio Exterior</w:t>
      </w:r>
      <w:r w:rsidRPr="006E5D49">
        <w:rPr>
          <w:rFonts w:ascii="Cambria" w:hAnsi="Cambria"/>
          <w:b/>
          <w:sz w:val="24"/>
          <w:szCs w:val="24"/>
        </w:rPr>
        <w:t>”</w:t>
      </w:r>
    </w:p>
    <w:p w:rsidR="00B42455" w:rsidRPr="006E5D49" w:rsidRDefault="00B42455" w:rsidP="00B42455">
      <w:pPr>
        <w:spacing w:after="0" w:line="240" w:lineRule="auto"/>
        <w:jc w:val="center"/>
        <w:rPr>
          <w:rFonts w:ascii="Cambria" w:hAnsi="Cambria"/>
          <w:b/>
          <w:sz w:val="24"/>
          <w:szCs w:val="24"/>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color w:val="000000"/>
          <w:sz w:val="28"/>
          <w:szCs w:val="28"/>
        </w:rPr>
      </w:pPr>
    </w:p>
    <w:p w:rsidR="00B42455" w:rsidRDefault="00B42455" w:rsidP="00B42455">
      <w:pPr>
        <w:pStyle w:val="capital"/>
        <w:shd w:val="clear" w:color="auto" w:fill="FFFFFF"/>
        <w:spacing w:before="0" w:beforeAutospacing="0" w:after="0" w:afterAutospacing="0"/>
        <w:jc w:val="center"/>
        <w:textAlignment w:val="baseline"/>
        <w:rPr>
          <w:rFonts w:ascii="Cambria" w:hAnsi="Cambria"/>
          <w:color w:val="000000"/>
          <w:sz w:val="28"/>
          <w:szCs w:val="28"/>
        </w:rPr>
      </w:pPr>
    </w:p>
    <w:p w:rsidR="00B42455" w:rsidRDefault="00B42455" w:rsidP="00B42455">
      <w:pPr>
        <w:pStyle w:val="capital"/>
        <w:shd w:val="clear" w:color="auto" w:fill="FFFFFF"/>
        <w:spacing w:before="0" w:beforeAutospacing="0" w:after="0" w:afterAutospacing="0"/>
        <w:textAlignment w:val="baseline"/>
        <w:rPr>
          <w:rFonts w:ascii="Cambria" w:hAnsi="Cambria"/>
          <w:color w:val="000000"/>
        </w:rPr>
      </w:pPr>
      <w:r>
        <w:rPr>
          <w:rFonts w:ascii="Cambria" w:hAnsi="Cambria"/>
          <w:color w:val="000000"/>
          <w:sz w:val="28"/>
          <w:szCs w:val="28"/>
        </w:rPr>
        <w:tab/>
      </w:r>
      <w:r>
        <w:rPr>
          <w:rFonts w:ascii="Cambria" w:hAnsi="Cambria"/>
          <w:color w:val="000000"/>
          <w:sz w:val="28"/>
          <w:szCs w:val="28"/>
        </w:rPr>
        <w:tab/>
      </w:r>
      <w:r>
        <w:rPr>
          <w:rFonts w:ascii="Cambria" w:hAnsi="Cambria"/>
          <w:color w:val="000000"/>
          <w:sz w:val="28"/>
          <w:szCs w:val="28"/>
        </w:rPr>
        <w:tab/>
      </w:r>
      <w:r>
        <w:rPr>
          <w:rFonts w:ascii="Cambria" w:hAnsi="Cambria"/>
          <w:color w:val="000000"/>
          <w:sz w:val="28"/>
          <w:szCs w:val="28"/>
        </w:rPr>
        <w:tab/>
      </w:r>
      <w:r>
        <w:rPr>
          <w:rFonts w:ascii="Cambria" w:hAnsi="Cambria"/>
          <w:color w:val="000000"/>
          <w:sz w:val="28"/>
          <w:szCs w:val="28"/>
        </w:rPr>
        <w:tab/>
      </w:r>
      <w:r>
        <w:rPr>
          <w:rFonts w:ascii="Cambria" w:hAnsi="Cambria"/>
          <w:color w:val="000000"/>
          <w:sz w:val="28"/>
          <w:szCs w:val="28"/>
        </w:rPr>
        <w:tab/>
        <w:t xml:space="preserve">           </w:t>
      </w:r>
      <w:r w:rsidR="00875DDC">
        <w:rPr>
          <w:rFonts w:ascii="Cambria" w:hAnsi="Cambria"/>
          <w:color w:val="000000"/>
          <w:sz w:val="28"/>
          <w:szCs w:val="28"/>
        </w:rPr>
        <w:t xml:space="preserve">    </w:t>
      </w:r>
      <w:r>
        <w:rPr>
          <w:rFonts w:ascii="Cambria" w:hAnsi="Cambria"/>
          <w:color w:val="000000"/>
        </w:rPr>
        <w:t>Lic. Nicolas Soldatich</w:t>
      </w:r>
    </w:p>
    <w:p w:rsidR="00B42455" w:rsidRDefault="00B42455" w:rsidP="00B42455">
      <w:pPr>
        <w:pStyle w:val="capital"/>
        <w:shd w:val="clear" w:color="auto" w:fill="FFFFFF"/>
        <w:spacing w:before="0" w:beforeAutospacing="0" w:after="0" w:afterAutospacing="0"/>
        <w:textAlignment w:val="baseline"/>
        <w:rPr>
          <w:rFonts w:ascii="Cambria" w:hAnsi="Cambria"/>
          <w:color w:val="000000"/>
        </w:rPr>
      </w:pP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t xml:space="preserve">        </w:t>
      </w:r>
      <w:r w:rsidR="00875DDC">
        <w:rPr>
          <w:rFonts w:ascii="Cambria" w:hAnsi="Cambria"/>
          <w:color w:val="000000"/>
        </w:rPr>
        <w:t xml:space="preserve">    </w:t>
      </w:r>
      <w:r>
        <w:rPr>
          <w:rFonts w:ascii="Cambria" w:hAnsi="Cambria"/>
          <w:color w:val="000000"/>
        </w:rPr>
        <w:t xml:space="preserve"> Economista</w:t>
      </w:r>
    </w:p>
    <w:p w:rsidR="00B42455" w:rsidRDefault="00B42455" w:rsidP="00B42455">
      <w:pPr>
        <w:pStyle w:val="capital"/>
        <w:shd w:val="clear" w:color="auto" w:fill="FFFFFF"/>
        <w:spacing w:before="0" w:beforeAutospacing="0" w:after="0" w:afterAutospacing="0"/>
        <w:textAlignment w:val="baseline"/>
        <w:rPr>
          <w:rFonts w:ascii="Cambria" w:hAnsi="Cambria"/>
          <w:color w:val="000000"/>
        </w:rPr>
      </w:pPr>
      <w:r>
        <w:rPr>
          <w:rFonts w:ascii="Cambria" w:hAnsi="Cambria"/>
          <w:color w:val="000000"/>
        </w:rPr>
        <w:t xml:space="preserve">                                                                          Profesor de Protección Marítima y Portuaria</w:t>
      </w:r>
    </w:p>
    <w:p w:rsidR="00B42455" w:rsidRDefault="00875DDC" w:rsidP="00B42455">
      <w:pPr>
        <w:pStyle w:val="capital"/>
        <w:shd w:val="clear" w:color="auto" w:fill="FFFFFF"/>
        <w:spacing w:before="0" w:beforeAutospacing="0" w:after="0" w:afterAutospacing="0"/>
        <w:textAlignment w:val="baseline"/>
        <w:rPr>
          <w:rFonts w:ascii="Cambria" w:hAnsi="Cambria"/>
          <w:color w:val="000000"/>
        </w:rPr>
      </w:pP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t xml:space="preserve">               </w:t>
      </w:r>
      <w:r w:rsidR="00B42455">
        <w:rPr>
          <w:rFonts w:ascii="Cambria" w:hAnsi="Cambria"/>
          <w:color w:val="000000"/>
        </w:rPr>
        <w:t>Departamento Académico Superior de Suboficiales</w:t>
      </w:r>
    </w:p>
    <w:p w:rsidR="006E5211" w:rsidRPr="00D2762C" w:rsidRDefault="00123DA0" w:rsidP="00D2762C">
      <w:pPr>
        <w:pBdr>
          <w:bottom w:val="single" w:sz="4" w:space="1" w:color="auto"/>
        </w:pBdr>
        <w:spacing w:after="0" w:line="240" w:lineRule="auto"/>
        <w:jc w:val="center"/>
        <w:rPr>
          <w:rFonts w:asciiTheme="majorHAnsi" w:hAnsiTheme="majorHAnsi"/>
          <w:b/>
          <w:sz w:val="28"/>
          <w:szCs w:val="28"/>
        </w:rPr>
      </w:pPr>
      <w:r w:rsidRPr="00D2762C">
        <w:rPr>
          <w:rFonts w:asciiTheme="majorHAnsi" w:hAnsiTheme="majorHAnsi"/>
          <w:b/>
          <w:sz w:val="28"/>
          <w:szCs w:val="28"/>
        </w:rPr>
        <w:lastRenderedPageBreak/>
        <w:t>INDICE NACIONAL DE ACT</w:t>
      </w:r>
      <w:r w:rsidR="00955D31" w:rsidRPr="00D2762C">
        <w:rPr>
          <w:rFonts w:asciiTheme="majorHAnsi" w:hAnsiTheme="majorHAnsi"/>
          <w:b/>
          <w:sz w:val="28"/>
          <w:szCs w:val="28"/>
        </w:rPr>
        <w:t>IVIDAD FLUVIAL Y MARITIMA</w:t>
      </w:r>
      <w:r w:rsidR="00D2762C">
        <w:rPr>
          <w:rFonts w:asciiTheme="majorHAnsi" w:hAnsiTheme="majorHAnsi"/>
          <w:b/>
          <w:sz w:val="28"/>
          <w:szCs w:val="28"/>
        </w:rPr>
        <w:t xml:space="preserve"> (AF</w:t>
      </w:r>
      <w:r w:rsidRPr="00D2762C">
        <w:rPr>
          <w:rFonts w:asciiTheme="majorHAnsi" w:hAnsiTheme="majorHAnsi"/>
          <w:b/>
          <w:sz w:val="28"/>
          <w:szCs w:val="28"/>
        </w:rPr>
        <w:t>M</w:t>
      </w:r>
      <w:r w:rsidR="006E5211" w:rsidRPr="00D2762C">
        <w:rPr>
          <w:rFonts w:asciiTheme="majorHAnsi" w:hAnsiTheme="majorHAnsi"/>
          <w:b/>
          <w:sz w:val="28"/>
          <w:szCs w:val="28"/>
        </w:rPr>
        <w:t xml:space="preserve">) y </w:t>
      </w:r>
      <w:r w:rsidR="00955D31" w:rsidRPr="00D2762C">
        <w:rPr>
          <w:rFonts w:asciiTheme="majorHAnsi" w:hAnsiTheme="majorHAnsi"/>
          <w:b/>
          <w:sz w:val="28"/>
          <w:szCs w:val="28"/>
        </w:rPr>
        <w:t>su Elasticidad Respecto al Estimador Mensual de</w:t>
      </w:r>
      <w:r w:rsidR="006E5211" w:rsidRPr="00D2762C">
        <w:rPr>
          <w:rFonts w:asciiTheme="majorHAnsi" w:hAnsiTheme="majorHAnsi"/>
          <w:b/>
          <w:sz w:val="28"/>
          <w:szCs w:val="28"/>
        </w:rPr>
        <w:t xml:space="preserve"> Actividad Económica y su Importancia en la Evaluación de Inversiones</w:t>
      </w:r>
      <w:r w:rsidR="00D2762C">
        <w:rPr>
          <w:rFonts w:asciiTheme="majorHAnsi" w:hAnsiTheme="majorHAnsi"/>
          <w:b/>
          <w:sz w:val="28"/>
          <w:szCs w:val="28"/>
        </w:rPr>
        <w:t xml:space="preserve"> Estratégicas </w:t>
      </w:r>
    </w:p>
    <w:p w:rsidR="00860DF7" w:rsidRPr="00D2762C" w:rsidRDefault="00D4587E" w:rsidP="00860DF7">
      <w:pPr>
        <w:jc w:val="both"/>
        <w:rPr>
          <w:rFonts w:asciiTheme="majorHAnsi" w:hAnsiTheme="majorHAnsi"/>
          <w:b/>
          <w:sz w:val="28"/>
          <w:szCs w:val="28"/>
        </w:rPr>
      </w:pPr>
      <w:r>
        <w:rPr>
          <w:rFonts w:asciiTheme="majorHAnsi" w:hAnsiTheme="majorHAnsi"/>
          <w:b/>
          <w:sz w:val="28"/>
          <w:szCs w:val="28"/>
        </w:rPr>
        <w:t xml:space="preserve">  </w:t>
      </w:r>
    </w:p>
    <w:p w:rsidR="005F1E1C" w:rsidRPr="005F1E1C" w:rsidRDefault="005F1E1C" w:rsidP="005F1E1C">
      <w:pPr>
        <w:tabs>
          <w:tab w:val="left" w:pos="2160"/>
        </w:tabs>
        <w:jc w:val="both"/>
        <w:rPr>
          <w:b/>
          <w:sz w:val="28"/>
          <w:szCs w:val="28"/>
          <w:highlight w:val="yellow"/>
        </w:rPr>
      </w:pPr>
      <w:r w:rsidRPr="005F1E1C">
        <w:rPr>
          <w:b/>
          <w:sz w:val="28"/>
          <w:szCs w:val="28"/>
          <w:highlight w:val="yellow"/>
        </w:rPr>
        <w:t>Objetivo</w:t>
      </w:r>
      <w:r w:rsidR="00CF7368">
        <w:rPr>
          <w:b/>
          <w:sz w:val="28"/>
          <w:szCs w:val="28"/>
          <w:highlight w:val="yellow"/>
        </w:rPr>
        <w:t>.</w:t>
      </w:r>
      <w:r>
        <w:rPr>
          <w:b/>
          <w:sz w:val="28"/>
          <w:szCs w:val="28"/>
          <w:highlight w:val="yellow"/>
        </w:rPr>
        <w:tab/>
      </w:r>
    </w:p>
    <w:p w:rsidR="00AE74D4" w:rsidRPr="005F1E1C" w:rsidRDefault="00D2762C" w:rsidP="005F1E1C">
      <w:pPr>
        <w:jc w:val="both"/>
        <w:rPr>
          <w:sz w:val="24"/>
          <w:szCs w:val="24"/>
          <w:highlight w:val="yellow"/>
        </w:rPr>
      </w:pPr>
      <w:r w:rsidRPr="005F1E1C">
        <w:rPr>
          <w:sz w:val="24"/>
          <w:szCs w:val="24"/>
          <w:highlight w:val="yellow"/>
        </w:rPr>
        <w:t xml:space="preserve">El desarrollo del presente </w:t>
      </w:r>
      <w:r w:rsidR="004354BD" w:rsidRPr="005F1E1C">
        <w:rPr>
          <w:sz w:val="24"/>
          <w:szCs w:val="24"/>
          <w:highlight w:val="yellow"/>
        </w:rPr>
        <w:t>trabajo de investigación buscará explicar el</w:t>
      </w:r>
      <w:r w:rsidR="00CE1028" w:rsidRPr="005F1E1C">
        <w:rPr>
          <w:sz w:val="24"/>
          <w:szCs w:val="24"/>
          <w:highlight w:val="yellow"/>
        </w:rPr>
        <w:t xml:space="preserve"> comportamiento de</w:t>
      </w:r>
      <w:r w:rsidR="004354BD" w:rsidRPr="005F1E1C">
        <w:rPr>
          <w:sz w:val="24"/>
          <w:szCs w:val="24"/>
          <w:highlight w:val="yellow"/>
        </w:rPr>
        <w:t>l</w:t>
      </w:r>
      <w:r w:rsidR="007D13F4" w:rsidRPr="005F1E1C">
        <w:rPr>
          <w:sz w:val="24"/>
          <w:szCs w:val="24"/>
          <w:highlight w:val="yellow"/>
        </w:rPr>
        <w:t xml:space="preserve"> la </w:t>
      </w:r>
      <w:r w:rsidR="0046136F" w:rsidRPr="005F1E1C">
        <w:rPr>
          <w:sz w:val="24"/>
          <w:szCs w:val="24"/>
          <w:highlight w:val="yellow"/>
        </w:rPr>
        <w:t>actividad Fluvial y M</w:t>
      </w:r>
      <w:r w:rsidR="00CE1028" w:rsidRPr="005F1E1C">
        <w:rPr>
          <w:sz w:val="24"/>
          <w:szCs w:val="24"/>
          <w:highlight w:val="yellow"/>
        </w:rPr>
        <w:t>arítima de Argentina</w:t>
      </w:r>
      <w:r w:rsidR="007D13F4" w:rsidRPr="005F1E1C">
        <w:rPr>
          <w:sz w:val="24"/>
          <w:szCs w:val="24"/>
          <w:highlight w:val="yellow"/>
        </w:rPr>
        <w:t xml:space="preserve"> con referencia a las Cargas y Descargas de Mercaderias y Mercancias  </w:t>
      </w:r>
      <w:r w:rsidR="00CE1028" w:rsidRPr="005F1E1C">
        <w:rPr>
          <w:sz w:val="24"/>
          <w:szCs w:val="24"/>
          <w:highlight w:val="yellow"/>
        </w:rPr>
        <w:t>(</w:t>
      </w:r>
      <w:r w:rsidR="00460ED8" w:rsidRPr="005F1E1C">
        <w:rPr>
          <w:sz w:val="24"/>
          <w:szCs w:val="24"/>
          <w:highlight w:val="yellow"/>
        </w:rPr>
        <w:t>AFM medida</w:t>
      </w:r>
      <w:r w:rsidR="007D13F4" w:rsidRPr="005F1E1C">
        <w:rPr>
          <w:sz w:val="24"/>
          <w:szCs w:val="24"/>
          <w:highlight w:val="yellow"/>
        </w:rPr>
        <w:t xml:space="preserve"> en toneladas), la </w:t>
      </w:r>
      <w:r w:rsidR="005F1E1C" w:rsidRPr="005F1E1C">
        <w:rPr>
          <w:sz w:val="24"/>
          <w:szCs w:val="24"/>
          <w:highlight w:val="yellow"/>
        </w:rPr>
        <w:t>construcción</w:t>
      </w:r>
      <w:r w:rsidR="007D13F4" w:rsidRPr="005F1E1C">
        <w:rPr>
          <w:sz w:val="24"/>
          <w:szCs w:val="24"/>
          <w:highlight w:val="yellow"/>
        </w:rPr>
        <w:t xml:space="preserve"> de una serie de </w:t>
      </w:r>
      <w:r w:rsidR="005F1E1C" w:rsidRPr="005F1E1C">
        <w:rPr>
          <w:sz w:val="24"/>
          <w:szCs w:val="24"/>
          <w:highlight w:val="yellow"/>
        </w:rPr>
        <w:t>tiempo</w:t>
      </w:r>
      <w:r w:rsidR="007D13F4" w:rsidRPr="005F1E1C">
        <w:rPr>
          <w:sz w:val="24"/>
          <w:szCs w:val="24"/>
          <w:highlight w:val="yellow"/>
        </w:rPr>
        <w:t xml:space="preserve"> que permita con eficiencia determinar un índice representativo de la actividad, asi como la determinación de la influencia de las principales variables económicas en dicho índice y la serie de tiempo.</w:t>
      </w:r>
    </w:p>
    <w:p w:rsidR="005F1E1C" w:rsidRPr="005F1E1C" w:rsidRDefault="00460ED8" w:rsidP="005F1E1C">
      <w:pPr>
        <w:jc w:val="both"/>
        <w:rPr>
          <w:sz w:val="24"/>
          <w:szCs w:val="24"/>
          <w:highlight w:val="yellow"/>
        </w:rPr>
      </w:pPr>
      <w:r w:rsidRPr="005F1E1C">
        <w:rPr>
          <w:sz w:val="24"/>
          <w:szCs w:val="24"/>
          <w:highlight w:val="yellow"/>
        </w:rPr>
        <w:t>La A</w:t>
      </w:r>
      <w:r w:rsidR="008A6C32" w:rsidRPr="005F1E1C">
        <w:rPr>
          <w:sz w:val="24"/>
          <w:szCs w:val="24"/>
          <w:highlight w:val="yellow"/>
        </w:rPr>
        <w:t>CTIVIDAD FLUVIAL MARITIMA</w:t>
      </w:r>
      <w:r w:rsidR="00AE74D4" w:rsidRPr="005F1E1C">
        <w:rPr>
          <w:sz w:val="24"/>
          <w:szCs w:val="24"/>
          <w:highlight w:val="yellow"/>
        </w:rPr>
        <w:t xml:space="preserve"> </w:t>
      </w:r>
      <w:r w:rsidR="00CE1028" w:rsidRPr="005F1E1C">
        <w:rPr>
          <w:sz w:val="24"/>
          <w:szCs w:val="24"/>
          <w:highlight w:val="yellow"/>
        </w:rPr>
        <w:t>se</w:t>
      </w:r>
      <w:r w:rsidR="00724900" w:rsidRPr="005F1E1C">
        <w:rPr>
          <w:sz w:val="24"/>
          <w:szCs w:val="24"/>
          <w:highlight w:val="yellow"/>
        </w:rPr>
        <w:t xml:space="preserve"> en</w:t>
      </w:r>
      <w:r w:rsidR="00CE1028" w:rsidRPr="005F1E1C">
        <w:rPr>
          <w:sz w:val="24"/>
          <w:szCs w:val="24"/>
          <w:highlight w:val="yellow"/>
        </w:rPr>
        <w:t xml:space="preserve"> vinc</w:t>
      </w:r>
      <w:r w:rsidR="00EF67B2" w:rsidRPr="005F1E1C">
        <w:rPr>
          <w:sz w:val="24"/>
          <w:szCs w:val="24"/>
          <w:highlight w:val="yellow"/>
        </w:rPr>
        <w:t>ula</w:t>
      </w:r>
      <w:r w:rsidR="00CE1028" w:rsidRPr="005F1E1C">
        <w:rPr>
          <w:sz w:val="24"/>
          <w:szCs w:val="24"/>
          <w:highlight w:val="yellow"/>
        </w:rPr>
        <w:t xml:space="preserve"> lógicamente al comercio internacional. Las variables seleccionadas como explicativas serán</w:t>
      </w:r>
      <w:r w:rsidR="00860DF7" w:rsidRPr="005F1E1C">
        <w:rPr>
          <w:sz w:val="24"/>
          <w:szCs w:val="24"/>
          <w:highlight w:val="yellow"/>
        </w:rPr>
        <w:t xml:space="preserve"> la actividad económica y el tipo de cambio</w:t>
      </w:r>
      <w:r w:rsidR="00030968" w:rsidRPr="005F1E1C">
        <w:rPr>
          <w:sz w:val="24"/>
          <w:szCs w:val="24"/>
          <w:highlight w:val="yellow"/>
        </w:rPr>
        <w:t xml:space="preserve"> nominal</w:t>
      </w:r>
      <w:r w:rsidR="00860DF7" w:rsidRPr="005F1E1C">
        <w:rPr>
          <w:sz w:val="24"/>
          <w:szCs w:val="24"/>
          <w:highlight w:val="yellow"/>
        </w:rPr>
        <w:t xml:space="preserve">. </w:t>
      </w:r>
    </w:p>
    <w:p w:rsidR="005F1E1C" w:rsidRPr="005F1E1C" w:rsidRDefault="00860DF7" w:rsidP="005F1E1C">
      <w:pPr>
        <w:jc w:val="both"/>
        <w:rPr>
          <w:sz w:val="24"/>
          <w:szCs w:val="24"/>
          <w:highlight w:val="yellow"/>
        </w:rPr>
      </w:pPr>
      <w:r w:rsidRPr="005F1E1C">
        <w:rPr>
          <w:sz w:val="24"/>
          <w:szCs w:val="24"/>
          <w:highlight w:val="yellow"/>
        </w:rPr>
        <w:t xml:space="preserve">Es pertinente </w:t>
      </w:r>
      <w:r w:rsidR="00CE1028" w:rsidRPr="005F1E1C">
        <w:rPr>
          <w:sz w:val="24"/>
          <w:szCs w:val="24"/>
          <w:highlight w:val="yellow"/>
        </w:rPr>
        <w:t xml:space="preserve">la hipótesis de que dichas variables son relevantes, </w:t>
      </w:r>
      <w:r w:rsidRPr="005F1E1C">
        <w:rPr>
          <w:sz w:val="24"/>
          <w:szCs w:val="24"/>
          <w:highlight w:val="yellow"/>
        </w:rPr>
        <w:t>toda vez que un incremento de la actividad económica implica un incremento de los flujos de comercio exterior; y asimismo que un incremento del tipo de cambio genera incentivos en el sector exportador vía incremento de la rentabilidad.</w:t>
      </w:r>
      <w:r w:rsidR="00D62A6E" w:rsidRPr="005F1E1C">
        <w:rPr>
          <w:sz w:val="24"/>
          <w:szCs w:val="24"/>
          <w:highlight w:val="yellow"/>
        </w:rPr>
        <w:t xml:space="preserve"> </w:t>
      </w:r>
    </w:p>
    <w:p w:rsidR="00860DF7" w:rsidRPr="005F1E1C" w:rsidRDefault="00D62A6E" w:rsidP="005F1E1C">
      <w:pPr>
        <w:jc w:val="both"/>
        <w:rPr>
          <w:sz w:val="24"/>
          <w:szCs w:val="24"/>
          <w:highlight w:val="yellow"/>
          <w:u w:val="single"/>
        </w:rPr>
      </w:pPr>
      <w:r w:rsidRPr="005F1E1C">
        <w:rPr>
          <w:sz w:val="24"/>
          <w:szCs w:val="24"/>
          <w:highlight w:val="yellow"/>
          <w:u w:val="single"/>
        </w:rPr>
        <w:t>Para cumplir el objetivo del presente trabajo</w:t>
      </w:r>
      <w:r w:rsidR="005F1E1C" w:rsidRPr="005F1E1C">
        <w:rPr>
          <w:sz w:val="24"/>
          <w:szCs w:val="24"/>
          <w:highlight w:val="yellow"/>
          <w:u w:val="single"/>
        </w:rPr>
        <w:t xml:space="preserve"> de Investigación,</w:t>
      </w:r>
      <w:r w:rsidRPr="005F1E1C">
        <w:rPr>
          <w:sz w:val="24"/>
          <w:szCs w:val="24"/>
          <w:highlight w:val="yellow"/>
          <w:u w:val="single"/>
        </w:rPr>
        <w:t xml:space="preserve"> se pretende estimar las elasticidades de</w:t>
      </w:r>
      <w:r w:rsidR="00EF67B2" w:rsidRPr="005F1E1C">
        <w:rPr>
          <w:sz w:val="24"/>
          <w:szCs w:val="24"/>
          <w:highlight w:val="yellow"/>
          <w:u w:val="single"/>
        </w:rPr>
        <w:t xml:space="preserve"> la Actividad Fluvial y Marítima</w:t>
      </w:r>
      <w:r w:rsidRPr="005F1E1C">
        <w:rPr>
          <w:sz w:val="24"/>
          <w:szCs w:val="24"/>
          <w:highlight w:val="yellow"/>
          <w:u w:val="single"/>
        </w:rPr>
        <w:t xml:space="preserve"> respecto del tipo de</w:t>
      </w:r>
      <w:r w:rsidR="005F1E1C" w:rsidRPr="005F1E1C">
        <w:rPr>
          <w:sz w:val="24"/>
          <w:szCs w:val="24"/>
          <w:highlight w:val="yellow"/>
          <w:u w:val="single"/>
        </w:rPr>
        <w:t xml:space="preserve"> cambio y el nivel de actividad y su aplicabilidad en el estudio de proyectos de inversión en obras de infraestructura vial, ferroviaria, fluvial y marítima.</w:t>
      </w:r>
    </w:p>
    <w:p w:rsidR="006C2C94" w:rsidRPr="005F1E1C" w:rsidRDefault="006C2C94" w:rsidP="005F1E1C">
      <w:pPr>
        <w:spacing w:after="160"/>
        <w:jc w:val="both"/>
        <w:rPr>
          <w:rFonts w:eastAsia="Calibri" w:cs="Times New Roman"/>
          <w:b/>
          <w:sz w:val="28"/>
          <w:szCs w:val="28"/>
          <w:highlight w:val="yellow"/>
          <w:lang w:val="es-ES"/>
        </w:rPr>
      </w:pPr>
      <w:r w:rsidRPr="005F1E1C">
        <w:rPr>
          <w:rFonts w:eastAsia="Calibri" w:cs="Times New Roman"/>
          <w:b/>
          <w:sz w:val="28"/>
          <w:szCs w:val="28"/>
          <w:highlight w:val="yellow"/>
          <w:lang w:val="es-ES"/>
        </w:rPr>
        <w:t>Introducción</w:t>
      </w:r>
      <w:r w:rsidR="00CF7368">
        <w:rPr>
          <w:rFonts w:eastAsia="Calibri" w:cs="Times New Roman"/>
          <w:b/>
          <w:sz w:val="28"/>
          <w:szCs w:val="28"/>
          <w:highlight w:val="yellow"/>
          <w:lang w:val="es-ES"/>
        </w:rPr>
        <w:t>.</w:t>
      </w:r>
    </w:p>
    <w:p w:rsidR="006C2C94" w:rsidRPr="005F1E1C" w:rsidRDefault="006C2C94" w:rsidP="005F1E1C">
      <w:pPr>
        <w:spacing w:after="160"/>
        <w:jc w:val="both"/>
        <w:rPr>
          <w:rFonts w:eastAsia="Calibri" w:cs="Times New Roman"/>
          <w:sz w:val="24"/>
          <w:szCs w:val="24"/>
          <w:highlight w:val="yellow"/>
          <w:lang w:val="es-ES"/>
        </w:rPr>
      </w:pPr>
      <w:r w:rsidRPr="005F1E1C">
        <w:rPr>
          <w:rFonts w:eastAsia="Calibri" w:cs="Times New Roman"/>
          <w:sz w:val="24"/>
          <w:szCs w:val="24"/>
          <w:highlight w:val="yellow"/>
          <w:lang w:val="es-ES"/>
        </w:rPr>
        <w:t xml:space="preserve">El Desarrollo Económico es el eje central de un país o regiones para crear la riqueza necesaria que permita generar la prosperidad y el bienestar social de sus habitantes. Es mandato de los gobiernos desarrollar políticas que permitan generar un crecimiento continuo y sostenido en el </w:t>
      </w:r>
      <w:r w:rsidR="004354BD" w:rsidRPr="005F1E1C">
        <w:rPr>
          <w:rFonts w:eastAsia="Calibri" w:cs="Times New Roman"/>
          <w:sz w:val="24"/>
          <w:szCs w:val="24"/>
          <w:highlight w:val="yellow"/>
          <w:lang w:val="es-ES"/>
        </w:rPr>
        <w:t>tiempo, procurando la promoción</w:t>
      </w:r>
      <w:r w:rsidRPr="005F1E1C">
        <w:rPr>
          <w:rFonts w:eastAsia="Calibri" w:cs="Times New Roman"/>
          <w:sz w:val="24"/>
          <w:szCs w:val="24"/>
          <w:highlight w:val="yellow"/>
          <w:lang w:val="es-ES"/>
        </w:rPr>
        <w:t xml:space="preserve"> armónica de las variables económicas, de modo que los países en vías de desarrollo tengan la posibilidad de continuar avanzando en el tiempo.</w:t>
      </w:r>
    </w:p>
    <w:p w:rsidR="006C2C94" w:rsidRPr="005F1E1C" w:rsidRDefault="006C2C94" w:rsidP="005F1E1C">
      <w:pPr>
        <w:spacing w:after="160"/>
        <w:jc w:val="both"/>
        <w:rPr>
          <w:rFonts w:eastAsia="Calibri" w:cs="Times New Roman"/>
          <w:sz w:val="24"/>
          <w:szCs w:val="24"/>
          <w:highlight w:val="yellow"/>
          <w:lang w:val="es-ES"/>
        </w:rPr>
      </w:pPr>
      <w:r w:rsidRPr="005F1E1C">
        <w:rPr>
          <w:rFonts w:eastAsia="Calibri" w:cs="Times New Roman"/>
          <w:sz w:val="24"/>
          <w:szCs w:val="24"/>
          <w:highlight w:val="yellow"/>
          <w:lang w:val="es-ES"/>
        </w:rPr>
        <w:t xml:space="preserve">El proceso de desarrollo económico supone ajustes legales e institucionales para dar incentivos a las innovaciones e inversiones, con el propósito de crear un sistema de producción y distribución de los bienes y los servicios que genera la economía. Esto exige el </w:t>
      </w:r>
      <w:r w:rsidRPr="005F1E1C">
        <w:rPr>
          <w:rFonts w:eastAsia="Calibri" w:cs="Times New Roman"/>
          <w:sz w:val="24"/>
          <w:szCs w:val="24"/>
          <w:highlight w:val="yellow"/>
          <w:lang w:val="es-ES"/>
        </w:rPr>
        <w:lastRenderedPageBreak/>
        <w:t xml:space="preserve">desarrollo de la infraestructura necesaria que permita sostenerlo, tales como materias primas, energía, rutas, puertos.  </w:t>
      </w:r>
    </w:p>
    <w:p w:rsidR="006C2C94" w:rsidRPr="005F1E1C" w:rsidRDefault="006C2C94" w:rsidP="005F1E1C">
      <w:pPr>
        <w:spacing w:after="160"/>
        <w:jc w:val="both"/>
        <w:rPr>
          <w:rFonts w:eastAsia="Calibri" w:cs="Times New Roman"/>
          <w:sz w:val="24"/>
          <w:szCs w:val="24"/>
          <w:highlight w:val="yellow"/>
          <w:lang w:val="es-ES"/>
        </w:rPr>
      </w:pPr>
      <w:r w:rsidRPr="005F1E1C">
        <w:rPr>
          <w:rFonts w:eastAsia="Calibri" w:cs="Times New Roman"/>
          <w:sz w:val="24"/>
          <w:szCs w:val="24"/>
          <w:highlight w:val="yellow"/>
          <w:lang w:val="es-ES"/>
        </w:rPr>
        <w:t>El crecimiento económico es una de las metas de toda sociedad, dado que implica el incremento de los ingresos y la mejora de la calidad de vida de todos los individuos, por lo que el desarrollo económico derivado del crecimiento ha sido desde siglos la principal preocupación para el hombre y sus comunidades.</w:t>
      </w:r>
    </w:p>
    <w:p w:rsidR="006C2C94" w:rsidRPr="005F1E1C" w:rsidRDefault="006C2C94" w:rsidP="005F1E1C">
      <w:pPr>
        <w:spacing w:after="160"/>
        <w:jc w:val="both"/>
        <w:rPr>
          <w:rFonts w:eastAsia="Calibri" w:cs="Times New Roman"/>
          <w:sz w:val="24"/>
          <w:szCs w:val="24"/>
          <w:highlight w:val="yellow"/>
          <w:lang w:val="es-ES"/>
        </w:rPr>
      </w:pPr>
      <w:r w:rsidRPr="005F1E1C">
        <w:rPr>
          <w:rFonts w:eastAsia="Calibri" w:cs="Times New Roman"/>
          <w:sz w:val="24"/>
          <w:szCs w:val="24"/>
          <w:highlight w:val="yellow"/>
          <w:lang w:val="es-ES"/>
        </w:rPr>
        <w:t>Desde la época de los descubrimientos y las conquistas, el ámbito marítimo fue el medio de ejecución del desarrollo a través del comercio, implementando un sistema vincular entre las  ciudades centrales y sus territorios de ultramar, siendo el transporte fluvial la principal herramienta para el comercio, tanto para el flujo de las mercancías, como de las mercaderías de dichos territorios.</w:t>
      </w:r>
    </w:p>
    <w:p w:rsidR="006C2C94" w:rsidRPr="00B42455" w:rsidRDefault="006C2C94" w:rsidP="005F1E1C">
      <w:pPr>
        <w:spacing w:after="160"/>
        <w:jc w:val="both"/>
        <w:rPr>
          <w:rFonts w:eastAsia="Calibri" w:cs="Times New Roman"/>
          <w:sz w:val="24"/>
          <w:szCs w:val="24"/>
          <w:lang w:val="es-ES"/>
        </w:rPr>
      </w:pPr>
      <w:r w:rsidRPr="005F1E1C">
        <w:rPr>
          <w:rFonts w:eastAsia="Calibri" w:cs="Times New Roman"/>
          <w:sz w:val="24"/>
          <w:szCs w:val="24"/>
          <w:highlight w:val="yellow"/>
          <w:lang w:val="es-ES"/>
        </w:rPr>
        <w:t>El comercio es el principal bien económico y la forma de obtener las divisas (dinero) necesarias para el funcionamiento, crecimiento y desarrollo de los estados. Por tal motivo, la actividad portuaria, junto con la necesidad de garantizar una navegación fluvial, marítima y puertos seguros, se transformaron en cuestiones primordiales.</w:t>
      </w:r>
      <w:r w:rsidR="005F1E1C">
        <w:rPr>
          <w:rFonts w:eastAsia="Calibri" w:cs="Times New Roman"/>
          <w:sz w:val="24"/>
          <w:szCs w:val="24"/>
          <w:highlight w:val="yellow"/>
          <w:lang w:val="es-ES"/>
        </w:rPr>
        <w:t xml:space="preserve"> Este factor determinante llevo</w:t>
      </w:r>
      <w:r w:rsidRPr="005F1E1C">
        <w:rPr>
          <w:rFonts w:eastAsia="Calibri" w:cs="Times New Roman"/>
          <w:sz w:val="24"/>
          <w:szCs w:val="24"/>
          <w:highlight w:val="yellow"/>
          <w:lang w:val="es-ES"/>
        </w:rPr>
        <w:t xml:space="preserve"> a la Primera Junta de Gobierno, en Junio de 1810, a crear las primeras capitanías de puertos, acción que da origen a la Prefectura Naval Argentina.</w:t>
      </w:r>
      <w:r w:rsidRPr="00B42455">
        <w:rPr>
          <w:rFonts w:eastAsia="Calibri" w:cs="Times New Roman"/>
          <w:sz w:val="24"/>
          <w:szCs w:val="24"/>
          <w:lang w:val="es-ES"/>
        </w:rPr>
        <w:t xml:space="preserve">  </w:t>
      </w:r>
    </w:p>
    <w:p w:rsidR="006C2C94" w:rsidRPr="005F1E1C" w:rsidRDefault="006C2C94" w:rsidP="005F1E1C">
      <w:pPr>
        <w:spacing w:after="160"/>
        <w:jc w:val="both"/>
        <w:rPr>
          <w:rFonts w:eastAsia="Calibri" w:cs="Times New Roman"/>
          <w:b/>
          <w:iCs/>
          <w:sz w:val="28"/>
          <w:szCs w:val="28"/>
          <w:lang w:val="es-ES"/>
        </w:rPr>
      </w:pPr>
      <w:r w:rsidRPr="005F1E1C">
        <w:rPr>
          <w:rFonts w:eastAsia="Calibri" w:cs="Times New Roman"/>
          <w:b/>
          <w:iCs/>
          <w:sz w:val="28"/>
          <w:szCs w:val="28"/>
          <w:lang w:val="es-ES"/>
        </w:rPr>
        <w:t>Antecedentes d</w:t>
      </w:r>
      <w:r w:rsidR="005F1E1C">
        <w:rPr>
          <w:rFonts w:eastAsia="Calibri" w:cs="Times New Roman"/>
          <w:b/>
          <w:iCs/>
          <w:sz w:val="28"/>
          <w:szCs w:val="28"/>
          <w:lang w:val="es-ES"/>
        </w:rPr>
        <w:t>e la A</w:t>
      </w:r>
      <w:r w:rsidRPr="005F1E1C">
        <w:rPr>
          <w:rFonts w:eastAsia="Calibri" w:cs="Times New Roman"/>
          <w:b/>
          <w:iCs/>
          <w:sz w:val="28"/>
          <w:szCs w:val="28"/>
          <w:lang w:val="es-ES"/>
        </w:rPr>
        <w:t>ctividad Fluvial y Marítima</w:t>
      </w:r>
      <w:r w:rsidR="00CF7368">
        <w:rPr>
          <w:rFonts w:eastAsia="Calibri" w:cs="Times New Roman"/>
          <w:b/>
          <w:iCs/>
          <w:sz w:val="28"/>
          <w:szCs w:val="28"/>
          <w:lang w:val="es-ES"/>
        </w:rPr>
        <w:t>.</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i/>
          <w:iCs/>
          <w:sz w:val="24"/>
          <w:szCs w:val="24"/>
          <w:lang w:val="es-ES"/>
        </w:rPr>
        <w:t>La Argentina cuenta con alrededor de 70 puertos fluviales y marítimos dedicados a la actividad comercial. La mayoría de ellos son de uso privado y de propiedad de empresas dedicadas a exportaciones vinculadas con distintos sectores de la economía.</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La República Argentina cuenta con un extenso litoral marítimo y una vía navegable fluvial de relevante importancia (la conformada por los ríos De la Plata, Paraná y Paraguay) sobre los que se sitúa un importante conjunto de instalaciones portuarias, de uso tanto público como privado, de las que aproximadamente 70 registran actividad comercial en la actualidad.</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Dicha actividad está mayoritariamente asociada con movimientos del comercio exterior del país, en los que el transporte por agua encuentra las condiciones para su mejor eficiencia (desplazamiento de cargas masivas sobre distancias considerables). Dentro de los movimientos del comercio exterior se destacan claramente, por su volumen, las exportaciones de productos de origen agrícola y, por su volumen y valor, las exportaciones e importaciones de cargas diversas transportadas en contenedores; con menor importancia aparecen los tráficos de minerales.</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lastRenderedPageBreak/>
        <w:t>No se dispone en la actualidad de estadísticas sobre el desempeño del sistema portuario argentino en su conjunto, como sí existen a través de organismos de planificación en otros países (ANTAQ, en Brasil, o Puertos del Estado, en España), ni tampoco un índice de actividad portuaria, tanto en movimiento de buques así como tampoco de las toneladas transportadas.</w:t>
      </w:r>
    </w:p>
    <w:p w:rsidR="006C2C94" w:rsidRPr="00CF7368" w:rsidRDefault="00CF7368" w:rsidP="005F1E1C">
      <w:pPr>
        <w:spacing w:after="160"/>
        <w:jc w:val="both"/>
        <w:rPr>
          <w:rFonts w:eastAsia="Calibri" w:cs="Times New Roman"/>
          <w:b/>
          <w:sz w:val="28"/>
          <w:szCs w:val="28"/>
          <w:lang w:val="es-ES"/>
        </w:rPr>
      </w:pPr>
      <w:r>
        <w:rPr>
          <w:rFonts w:eastAsia="Calibri" w:cs="Times New Roman"/>
          <w:b/>
          <w:sz w:val="28"/>
          <w:szCs w:val="28"/>
          <w:lang w:val="es-ES"/>
        </w:rPr>
        <w:t>El Transporte y la G</w:t>
      </w:r>
      <w:r w:rsidR="006C2C94" w:rsidRPr="00CF7368">
        <w:rPr>
          <w:rFonts w:eastAsia="Calibri" w:cs="Times New Roman"/>
          <w:b/>
          <w:sz w:val="28"/>
          <w:szCs w:val="28"/>
          <w:lang w:val="es-ES"/>
        </w:rPr>
        <w:t>eografía</w:t>
      </w:r>
      <w:r>
        <w:rPr>
          <w:rFonts w:eastAsia="Calibri" w:cs="Times New Roman"/>
          <w:b/>
          <w:sz w:val="28"/>
          <w:szCs w:val="28"/>
          <w:lang w:val="es-ES"/>
        </w:rPr>
        <w:t>.</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Debe destacarse que la geografía no presenta las mejores condiciones para el funcionamiento del sistema portuario nacional, teniendo en cuenta las escasas profundidades existentes en buena parte del litoral marítimo y en la vía navegable fluvial ya mencionada, y el constante crecimiento en el tamaño de los buques que acuden a los puertos argentinos. Ello redunda en la necesidad de ingentes esfuerzos en tareas de dragado para lograr progresivos aumentos en las profundidades disponibles y, permanentemente, conservar los niveles alcanzados.</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La situación dista, sin embargo, de ser favorable frente a los crecientes requerimientos planteados por las embarcaciones actualmente empleadas en el transporte intercontinental. El acceso al sector fluvial del sistema portuario nacional se realiza a través de canales dragados en el Río de la Plata que en la actualidad permiten la navegación con calados de hasta 34 pies (10,4 metros), previéndose que en el corto plazo dicho límite se eleve a 36 pies (11 metros). Todo ello frente a calados de 13 y 14 metros que son usuales en los buques mercantes de la actualidad.</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Las profundidades y la señalización de la ruta de navegación son mantenidas, entre la confluencia de los ríos Paraguay y Paraná y la salida al Océano Atlántico (aproximadamente 1.400 km), por un concesionario (del Estado nacional) que cobra tarifas de peaje a las embarcaciones que utilizan la vía navegable. Desde el océano y hasta el puerto de San Martín (en la provincia de Santa Fe, aproximadamente 30 km aguas arriba de Rosario) las condiciones mantenidas son las ya mencionadas para los canales del Río de la Plata y entre San Martín y Santa Fe (aproximadamente 130 km de ruta adicionales) se mantienen actualmente condiciones para permitir la navegación con calados de hasta 28 pies (8,5 metros).</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Aguas arriba de Santa Fe, las condiciones naturales del río cambian sustancialmente y sólo es posible desarrollar la navegación con calados máximos del orden de 10 pies (3 metros), condición que se estima no podrá modificarse sustancialmente dentro de horizontes temporales previsibles. En función de ello el transporte se ha adaptado a las condiciones naturales y se desarrolla preponderantemente mediante el sistema de navegación por empuje.</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lastRenderedPageBreak/>
        <w:t>Mediante dicho sistema se transportan preponderantemente graneles sólidos (soja y derivados y mineral de hierro, exportados por Paraguay, Bolivia y Brasil), seguidos en importancia por los graneles líquidos (mayoritariamente combustibles de importación para Paraguay) y cargas en contenedores (exportaciones e importaciones paraguayas). Más de 15 millones de toneladas por año circulan por la ruta fluvial al norte de Santa Fe, con fuerte preponderancia de los tráficos descendentes y escasa participación de cargas argentinas.</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Fuera de la vía navegable troncal descripta, la principal actividad portuaria se concentra en el litoral marítimo bonaerense, con los puertos de Bahía Blanca, Quequén y Mar del Plata (en ese orden de importancia). Bahía Blanca y Quequén presentan en la actualidad profundidades que permiten, respectivamente, la navegación con calados de hasta 45 pies (13,7 metros) y 40 pies (12,2 metros), teniendo ambos puertos en estudio la posibilidad de mejorar dichas condiciones. También aquí el mantenimiento de las profundidades requiere de trabajos periódicos de dragado de magnitud relevante.</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En la costa patagónica se sitúan diversas instalaciones portuarias, entre las que destacan por su importancia San Antonio Este (especializado en el manejo de exportaciones de frutas), Puerto Madryn (fuertemente asociado con la operación de la empresa Aluar y con actividad también en cargas en contenedores y pesca), Caleta Córdova y Caleta Olivia (ambas especializadas en embarques de crudo), Puerto Deseado (fundamentalmente orientado a la actividad pesquera) y Ushuaia (pesca, cruceros turísticos y cargas en contenedores dirigidas, principalmente, a la industria electrónica radicada en Tierra del Fuego).</w:t>
      </w:r>
    </w:p>
    <w:p w:rsidR="006C2C94" w:rsidRPr="00CF7368" w:rsidRDefault="00CF7368" w:rsidP="005F1E1C">
      <w:pPr>
        <w:spacing w:after="160"/>
        <w:jc w:val="both"/>
        <w:rPr>
          <w:rFonts w:eastAsia="Calibri" w:cs="Times New Roman"/>
          <w:b/>
          <w:sz w:val="28"/>
          <w:szCs w:val="28"/>
          <w:lang w:val="es-ES"/>
        </w:rPr>
      </w:pPr>
      <w:r>
        <w:rPr>
          <w:rFonts w:eastAsia="Calibri" w:cs="Times New Roman"/>
          <w:b/>
          <w:sz w:val="28"/>
          <w:szCs w:val="28"/>
          <w:lang w:val="es-ES"/>
        </w:rPr>
        <w:t>Especialización por T</w:t>
      </w:r>
      <w:r w:rsidR="006C2C94" w:rsidRPr="00CF7368">
        <w:rPr>
          <w:rFonts w:eastAsia="Calibri" w:cs="Times New Roman"/>
          <w:b/>
          <w:sz w:val="28"/>
          <w:szCs w:val="28"/>
          <w:lang w:val="es-ES"/>
        </w:rPr>
        <w:t>ráficos</w:t>
      </w:r>
      <w:r>
        <w:rPr>
          <w:rFonts w:eastAsia="Calibri" w:cs="Times New Roman"/>
          <w:b/>
          <w:sz w:val="28"/>
          <w:szCs w:val="28"/>
          <w:lang w:val="es-ES"/>
        </w:rPr>
        <w:t>.</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El transporte por agua se encuentra, desde hace varias décadas, fuertemente especializado en función del tipo de carga atendido, tanto en lo que hace a los tipos de buques utilizados como desde el punto de vista de las instalaciones portuarias preparadas para recibirlos. Se distinguen, así, tres grandes grupos (de buques y puertos) que abarcan casi la totalidad de la actividad a nivel mundial: a) las cargas líquidas a granel (donde ocupan una posición dominante el petróleo y sus derivados); b) las cargas sólidas a granel (con los grandes subgrupos de minerales y granos), y c) la carga en contenedores. El sistema portuario argentino refleja, naturalmente, la situación descripta.</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Tal como se señaló inicialmente, las exportaciones de productos agrícolas ocupan el lugar más destacado como generadoras de transporte por agua. Estos tráficos se canalizan por un gran número de instalaciones especializadas, la gran mayoría de las cuales son de uso privado y de propiedad de los principales exportadores del sector.</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lastRenderedPageBreak/>
        <w:t>En el año 2010 se embarcaron por puertos argentinos casi 60 millones de toneladas de granos y subproductos sólidos, correspondiendo más del 80% del total a los puertos situados sobre el Río Paraná (básicamente concentrados en los complejos portuarios de Rosario y San Lorenzo, sobre una longitud de aproximadamente 60 km en la margen derecha del río).</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El resto de los embarques de este grupo de productos se realiza a través de los puertos de Bahía Blanca y Quequén; teniendo en cuenta las limitaciones de profundidad de la vía fluvial y las mejores condiciones de los puertos marítimos en ese aspecto, es habitual que los buques realicen una carga parcial en los puertos del Río Paraná y completen luego sus bodegas en Bahía Blanca o Quequén.</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En cuanto al otro gran grupo de graneles sólidos (los minerales), la Argentina es básicamente un país importador y los flujos principales se reciben a través de los puertos vinculados con las acerías situadas sobre el Río Paraná (Campana, San Nicolás, Villa Constitución) y en Puerto Madryn (alúmina). La exportación más relevante de este rubro es la de mineral de cobre, que se canaliza a través de una instalación específica (propiedad de Minera Alumbrera) situada en el puerto de San Martín.</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Los flujos de cargas líquidas a granel tienen como componente principal a los movimientos de petróleo crudo y de sus derivados que son, en su mayoría, tráficos de cabotaje. Los movimientos de crudo están asociados al abastecimiento de las refinerías situadas sobre los ríos De la Plata y Paraná con petróleo producido en Chubut, Santa Cruz y Tierra del Fuego, mientras que los flujos de productos refinados corresponden a tráficos de distribución desde dichas refinerías hacia centros de distribución situados en puertos tanto fluviales como marítimos.</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Vale la pena destacar una modalidad normalmente utilizada para el abastecimiento de las refinerías argentinas, que busca aprovechar las ventajas económicas de la utilización de buques de mayor tamaño. La gran mayoría de los envíos de crudo provenientes del área del Golfo San Jorge (Caleta Córdova y Caleta Olivia) son descargados en instalaciones ubicadas en cercanías de Puerto Rosales, en la ría de Bahía Blanca, donde el crudo es posteriormente inyectado en ductos a través de los cuales finaliza su transporte hacia las refinerías. Naturalmente, si se optara por realizar el transporte por agua directamente hasta las refinerías (situadas sobre la vía fluvial), ello implicaría la utilización de buques de menor tamaño o de los más grandes con carga parcial.</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 xml:space="preserve">Dentro de los movimientos portuarios asociados con el sector energético cabe destacar un tráfico de reciente aparición e importancia creciente, como la importación de GNL (gas natural licuado). Dichas importaciones son descargadas en la actualidad en instalaciones situadas en Bahía Blanca y Escobar, donde el gas licuado descargado de los buques es </w:t>
      </w:r>
      <w:r w:rsidRPr="00B42455">
        <w:rPr>
          <w:rFonts w:eastAsia="Calibri" w:cs="Times New Roman"/>
          <w:sz w:val="24"/>
          <w:szCs w:val="24"/>
          <w:lang w:val="es-ES"/>
        </w:rPr>
        <w:lastRenderedPageBreak/>
        <w:t>reconvertido al estado gaseoso e inyectado a la red. Teniendo en cuenta que la demanda por este producto se plantea como fuertemente creciente para los próximos años, se hallan en estudio otras posibles localizaciones adicionales para su descarga.</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Dentro de las cargas líquidas a granel ocupan también un rol relevante las exportaciones de aceites vegetales (entre 5 y 6 millones de toneladas al año) que se embarcan en las terminales de Rosario/San Lorenzo (90%), Bahía Blanca y Quequén. Cabe señalar que la gran mayoría de las fábricas de aceite se encuentran directamente localizadas junto a los puertos por donde se exportan estos productos.</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El tercer gran grupo de cargas (las transportadas en contenedores) se atiende de manera casi excluyente en las terminales situadas en el área metropolitana de Buenos Aires (tres terminales en Puerto Nuevo y una en Dock Sud, todas ellas operadas por sendos concesionarios en los que están involucrados los principales operadores de este tipo de terminales a nivel mundial).</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En el año 2010 dichas terminales operaron un total de algo más de 1,7 millones de TEU (como existen contenedores de diversos tamaños, los movimientos y capacidades se expresan de manera unificada en la unidad TEU, que corresponde a un contenedor del tamaño menor, de una longitud de 20 pies).</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Dicha concentración se relaciona con la organización de estos tráficos, con servicios regulares que atienden determinados recorridos prefijados con frecuencias preestablecidas. De este modo, la costa este de Sudamérica está vinculada con otras regiones del planeta como el Lejano Oriente, América del Norte y el Caribe, norte de Europa y Mar Mediterráneo. Buenos Aires es, en la mayoría de esos recorridos, la última escala de los buques antes de iniciar su viaje de retorno.</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Con toda lógica, las empresas prestadoras de los servicios descriptos procuran organizar los mismos con la menor cantidad de escalas posible, concentrando carga en ciertos puertos. El rol de puerto concentrador en la Argentina ha sido ocupado históricamente por Buenos Aires y se presume que esa condición se mantendrá en el mediano plazo (en este sentido se consideran como integrantes del “área Buenos Aires” a terminales como la ya existente en Zárate y la que se halla en construcción en el puerto de La Plata).</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Existen, no obstante, otros puertos argentinos que registran movimientos de carga en contenedores (Ushuaia, Puerto Deseado, Puerto Madryn, San Antonio Este, Bahía Blanca, Mar del Plata, Zárate, Las Palmas, Rosario, Corrientes). En esos casos, las cargas son transportadas hacia o desde esos puertos en buques “alimentadores” que recalan también en los puertos concentradores (Buenos Aires o Montevideo), donde se produce el transbordo de los contenedores al (o del) buque que realiza el transporte intercontinental.</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lastRenderedPageBreak/>
        <w:t>La utilización, bastante habitual, del puerto de Montevideo para los transbordos mencionados tiene que ver con la vigencia en la Argentina de una Ley de Cabotaje que obliga a utilizar embarcaciones con pabellón nacional para la realización de transporte entre puertos argentinos. Teniendo en cuenta la reducida magnitud de la flota mercante nacional, una parte de los servicios alimentadores se efectúa con embarcaciones de bandera extranjera, lo que inhibe (para esos casos) la realización de transbordos en Buenos Aires.</w:t>
      </w:r>
    </w:p>
    <w:p w:rsidR="006C2C94" w:rsidRPr="00CF7368" w:rsidRDefault="006C2C94" w:rsidP="005F1E1C">
      <w:pPr>
        <w:spacing w:after="160"/>
        <w:jc w:val="both"/>
        <w:rPr>
          <w:rFonts w:eastAsia="Calibri" w:cs="Times New Roman"/>
          <w:b/>
          <w:sz w:val="28"/>
          <w:szCs w:val="28"/>
          <w:lang w:val="es-ES"/>
        </w:rPr>
      </w:pPr>
      <w:r w:rsidRPr="00CF7368">
        <w:rPr>
          <w:rFonts w:eastAsia="Calibri" w:cs="Times New Roman"/>
          <w:b/>
          <w:sz w:val="28"/>
          <w:szCs w:val="28"/>
          <w:lang w:val="es-ES"/>
        </w:rPr>
        <w:t>Marco Regulatorio de la Actividad Portuaria</w:t>
      </w:r>
      <w:r w:rsidR="00CF7368">
        <w:rPr>
          <w:rFonts w:eastAsia="Calibri" w:cs="Times New Roman"/>
          <w:b/>
          <w:sz w:val="28"/>
          <w:szCs w:val="28"/>
          <w:lang w:val="es-ES"/>
        </w:rPr>
        <w:t>.</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La República Argentina cuenta, desde 1992, con una Ley de Actividades Portuarias (Nº 24.093) que fijó los lineamientos vigentes para la organización del sector. Según dicha ley, los puertos se clasifican:</w:t>
      </w:r>
    </w:p>
    <w:p w:rsidR="006C2C94" w:rsidRPr="00B42455" w:rsidRDefault="006C2C94" w:rsidP="005F1E1C">
      <w:pPr>
        <w:spacing w:after="160"/>
        <w:rPr>
          <w:rFonts w:eastAsia="Calibri" w:cs="Times New Roman"/>
          <w:sz w:val="24"/>
          <w:szCs w:val="24"/>
          <w:lang w:val="es-ES"/>
        </w:rPr>
      </w:pPr>
      <w:r w:rsidRPr="00B42455">
        <w:rPr>
          <w:rFonts w:eastAsia="Calibri" w:cs="Times New Roman"/>
          <w:sz w:val="24"/>
          <w:szCs w:val="24"/>
          <w:lang w:val="es-ES"/>
        </w:rPr>
        <w:t>* Según la titularidad del inmueble (nacionales, provinciales, municipales, de los particulares);</w:t>
      </w:r>
      <w:r w:rsidRPr="00B42455">
        <w:rPr>
          <w:rFonts w:eastAsia="Calibri" w:cs="Times New Roman"/>
          <w:sz w:val="24"/>
          <w:szCs w:val="24"/>
          <w:lang w:val="es-ES"/>
        </w:rPr>
        <w:br/>
        <w:t>* Según su uso (público, privado);</w:t>
      </w:r>
      <w:r w:rsidRPr="00B42455">
        <w:rPr>
          <w:rFonts w:eastAsia="Calibri" w:cs="Times New Roman"/>
          <w:sz w:val="24"/>
          <w:szCs w:val="24"/>
          <w:lang w:val="es-ES"/>
        </w:rPr>
        <w:br/>
        <w:t>* Según su destino (comerciales, industriales, recreativos).</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La citada ley dio lugar a una significativa descentralización de la actividad que, con anterioridad a la sanción de la norma, estaba en gran parte a cargo de una empresa del Estado nacional (la Administración General de Puertos). Actualmente sólo el puerto de Buenos Aires permanece en la órbita de dicha empresa y existen reclamos para el traspaso de su gestión a la ciudad de Buenos Aires que, al momento de sanción de la ley, no gozaba del grado de autonomía con que hoy cuenta.</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El resto de los puertos comerciales de uso público son administrados por las provincias en las que ellos se asientan. Muchos de los puertos más importantes son administrados (en algunos casos desde hace más de 15 años) por sendos entes públicos no estatales, con diferentes grados de autonomía y de participación en su dirección de los sectores particulares interesados en el quehacer portuario.</w:t>
      </w:r>
    </w:p>
    <w:p w:rsidR="006C2C94" w:rsidRPr="00B42455" w:rsidRDefault="006C2C94" w:rsidP="005F1E1C">
      <w:pPr>
        <w:spacing w:after="160"/>
        <w:jc w:val="both"/>
        <w:rPr>
          <w:rFonts w:eastAsia="Calibri" w:cs="Times New Roman"/>
          <w:sz w:val="24"/>
          <w:szCs w:val="24"/>
          <w:lang w:val="es-ES"/>
        </w:rPr>
      </w:pPr>
      <w:r w:rsidRPr="00B42455">
        <w:rPr>
          <w:rFonts w:eastAsia="Calibri" w:cs="Times New Roman"/>
          <w:sz w:val="24"/>
          <w:szCs w:val="24"/>
          <w:lang w:val="es-ES"/>
        </w:rPr>
        <w:t>Actualmente cuentan con esa modalidad de gestión los puertos de Bahía Blanca, Quequén, Mar del Plata, La Plata, San Pedro, Villa Constitución, Rosario, Santa Fe, Diamante, Ibicuy, Concepción del Uruguay, Puerto Madryn y Comodoro Rivadavia</w:t>
      </w:r>
    </w:p>
    <w:p w:rsidR="00CF7368" w:rsidRDefault="00CF7368" w:rsidP="005F1E1C">
      <w:pPr>
        <w:jc w:val="both"/>
        <w:rPr>
          <w:b/>
          <w:sz w:val="28"/>
          <w:szCs w:val="28"/>
        </w:rPr>
      </w:pPr>
    </w:p>
    <w:p w:rsidR="00CF7368" w:rsidRDefault="00CF7368" w:rsidP="005F1E1C">
      <w:pPr>
        <w:jc w:val="both"/>
        <w:rPr>
          <w:b/>
          <w:sz w:val="28"/>
          <w:szCs w:val="28"/>
        </w:rPr>
      </w:pPr>
    </w:p>
    <w:p w:rsidR="00CF7368" w:rsidRDefault="00CF7368" w:rsidP="005F1E1C">
      <w:pPr>
        <w:jc w:val="both"/>
        <w:rPr>
          <w:b/>
          <w:sz w:val="28"/>
          <w:szCs w:val="28"/>
        </w:rPr>
      </w:pPr>
    </w:p>
    <w:p w:rsidR="00CF7368" w:rsidRDefault="00CF7368" w:rsidP="005F1E1C">
      <w:pPr>
        <w:jc w:val="both"/>
        <w:rPr>
          <w:b/>
          <w:sz w:val="28"/>
          <w:szCs w:val="28"/>
        </w:rPr>
      </w:pPr>
    </w:p>
    <w:p w:rsidR="00D62A6E" w:rsidRPr="00CF7368" w:rsidRDefault="00D62A6E" w:rsidP="005F1E1C">
      <w:pPr>
        <w:jc w:val="both"/>
        <w:rPr>
          <w:b/>
          <w:sz w:val="28"/>
          <w:szCs w:val="28"/>
        </w:rPr>
      </w:pPr>
      <w:r w:rsidRPr="00CF7368">
        <w:rPr>
          <w:b/>
          <w:sz w:val="28"/>
          <w:szCs w:val="28"/>
        </w:rPr>
        <w:lastRenderedPageBreak/>
        <w:t>Datos utilizados</w:t>
      </w:r>
      <w:r w:rsidR="00CF7368">
        <w:rPr>
          <w:b/>
          <w:sz w:val="28"/>
          <w:szCs w:val="28"/>
        </w:rPr>
        <w:t xml:space="preserve"> para el Estudio.</w:t>
      </w:r>
    </w:p>
    <w:p w:rsidR="00835D1C" w:rsidRPr="00746523" w:rsidRDefault="00860DF7" w:rsidP="005F1E1C">
      <w:pPr>
        <w:jc w:val="both"/>
        <w:rPr>
          <w:sz w:val="24"/>
          <w:szCs w:val="24"/>
          <w:highlight w:val="yellow"/>
        </w:rPr>
      </w:pPr>
      <w:r w:rsidRPr="00746523">
        <w:rPr>
          <w:sz w:val="24"/>
          <w:szCs w:val="24"/>
          <w:highlight w:val="yellow"/>
        </w:rPr>
        <w:t xml:space="preserve">Para captar la evolución del nivel de actividad a nivel agregado se consideró la serie del Estimador Mensual de la Actividad Económica </w:t>
      </w:r>
      <w:r w:rsidR="001412C0" w:rsidRPr="00746523">
        <w:rPr>
          <w:sz w:val="24"/>
          <w:szCs w:val="24"/>
          <w:highlight w:val="yellow"/>
        </w:rPr>
        <w:t xml:space="preserve">(EMAE) </w:t>
      </w:r>
      <w:r w:rsidRPr="00746523">
        <w:rPr>
          <w:sz w:val="24"/>
          <w:szCs w:val="24"/>
          <w:highlight w:val="yellow"/>
        </w:rPr>
        <w:t>publicado por el Instituto Nacional de Estadística y Censos</w:t>
      </w:r>
      <w:r w:rsidR="00CE1028" w:rsidRPr="00746523">
        <w:rPr>
          <w:sz w:val="24"/>
          <w:szCs w:val="24"/>
          <w:highlight w:val="yellow"/>
        </w:rPr>
        <w:t xml:space="preserve"> (INDEC)</w:t>
      </w:r>
      <w:r w:rsidR="00CE1028" w:rsidRPr="00746523">
        <w:rPr>
          <w:rStyle w:val="Refdenotaalpie"/>
          <w:sz w:val="24"/>
          <w:szCs w:val="24"/>
          <w:highlight w:val="yellow"/>
        </w:rPr>
        <w:footnoteReference w:id="1"/>
      </w:r>
      <w:r w:rsidRPr="00746523">
        <w:rPr>
          <w:sz w:val="24"/>
          <w:szCs w:val="24"/>
          <w:highlight w:val="yellow"/>
        </w:rPr>
        <w:t>; y para el tipo de cambio</w:t>
      </w:r>
      <w:r w:rsidR="001412C0" w:rsidRPr="00746523">
        <w:rPr>
          <w:sz w:val="24"/>
          <w:szCs w:val="24"/>
          <w:highlight w:val="yellow"/>
        </w:rPr>
        <w:t xml:space="preserve"> nominal</w:t>
      </w:r>
      <w:r w:rsidRPr="00746523">
        <w:rPr>
          <w:sz w:val="24"/>
          <w:szCs w:val="24"/>
          <w:highlight w:val="yellow"/>
        </w:rPr>
        <w:t xml:space="preserve"> </w:t>
      </w:r>
      <w:r w:rsidR="001412C0" w:rsidRPr="00746523">
        <w:rPr>
          <w:sz w:val="24"/>
          <w:szCs w:val="24"/>
          <w:highlight w:val="yellow"/>
        </w:rPr>
        <w:t xml:space="preserve">(TC) </w:t>
      </w:r>
      <w:r w:rsidRPr="00746523">
        <w:rPr>
          <w:sz w:val="24"/>
          <w:szCs w:val="24"/>
          <w:highlight w:val="yellow"/>
        </w:rPr>
        <w:t>se utilizó la serie publicada por el Banco Central de la República Argentina</w:t>
      </w:r>
      <w:r w:rsidR="00CE1028" w:rsidRPr="00746523">
        <w:rPr>
          <w:sz w:val="24"/>
          <w:szCs w:val="24"/>
          <w:highlight w:val="yellow"/>
        </w:rPr>
        <w:t xml:space="preserve"> (BCRA)</w:t>
      </w:r>
      <w:r w:rsidR="00D0247F" w:rsidRPr="00746523">
        <w:rPr>
          <w:rStyle w:val="Refdenotaalpie"/>
          <w:sz w:val="24"/>
          <w:szCs w:val="24"/>
          <w:highlight w:val="yellow"/>
        </w:rPr>
        <w:footnoteReference w:id="2"/>
      </w:r>
      <w:r w:rsidRPr="00746523">
        <w:rPr>
          <w:sz w:val="24"/>
          <w:szCs w:val="24"/>
          <w:highlight w:val="yellow"/>
        </w:rPr>
        <w:t xml:space="preserve">. Tanto la variable explicada: </w:t>
      </w:r>
      <w:r w:rsidR="001412C0" w:rsidRPr="00746523">
        <w:rPr>
          <w:sz w:val="24"/>
          <w:szCs w:val="24"/>
          <w:highlight w:val="yellow"/>
        </w:rPr>
        <w:t>actividad fluvial y marítima (AFM)</w:t>
      </w:r>
      <w:r w:rsidRPr="00746523">
        <w:rPr>
          <w:sz w:val="24"/>
          <w:szCs w:val="24"/>
          <w:highlight w:val="yellow"/>
        </w:rPr>
        <w:t>, como para las variables explicativas anteriormente mencionadas; se utilizaron datos de frecuencia mensual para el período que va desde enero de 2008 a diciembre de 2017</w:t>
      </w:r>
      <w:r w:rsidR="006E5211" w:rsidRPr="00746523">
        <w:rPr>
          <w:sz w:val="24"/>
          <w:szCs w:val="24"/>
          <w:highlight w:val="yellow"/>
        </w:rPr>
        <w:t xml:space="preserve"> que son registrados por la Pr</w:t>
      </w:r>
      <w:r w:rsidR="00835D1C" w:rsidRPr="00746523">
        <w:rPr>
          <w:sz w:val="24"/>
          <w:szCs w:val="24"/>
          <w:highlight w:val="yellow"/>
        </w:rPr>
        <w:t>efectura Naval Argentina (PNA).</w:t>
      </w:r>
    </w:p>
    <w:p w:rsidR="00013C2F" w:rsidRPr="00B42455" w:rsidRDefault="00835D1C" w:rsidP="005F1E1C">
      <w:pPr>
        <w:jc w:val="both"/>
        <w:rPr>
          <w:sz w:val="24"/>
          <w:szCs w:val="24"/>
          <w:lang w:val="es-ES"/>
        </w:rPr>
      </w:pPr>
      <w:r w:rsidRPr="00746523">
        <w:rPr>
          <w:sz w:val="24"/>
          <w:szCs w:val="24"/>
          <w:highlight w:val="yellow"/>
        </w:rPr>
        <w:t xml:space="preserve">La Prefectura Naval Argentina, </w:t>
      </w:r>
      <w:r w:rsidR="00013C2F" w:rsidRPr="00746523">
        <w:rPr>
          <w:sz w:val="24"/>
          <w:szCs w:val="24"/>
          <w:highlight w:val="yellow"/>
          <w:lang w:val="es-ES"/>
        </w:rPr>
        <w:t>conforme la Ley General 18.398,</w:t>
      </w:r>
      <w:r w:rsidRPr="00746523">
        <w:rPr>
          <w:sz w:val="24"/>
          <w:szCs w:val="24"/>
          <w:highlight w:val="yellow"/>
          <w:lang w:val="es-ES"/>
        </w:rPr>
        <w:t xml:space="preserve"> la Ley de la Navegación 20.094, </w:t>
      </w:r>
      <w:r w:rsidRPr="00746523">
        <w:rPr>
          <w:sz w:val="24"/>
          <w:szCs w:val="24"/>
          <w:highlight w:val="yellow"/>
        </w:rPr>
        <w:t xml:space="preserve">es </w:t>
      </w:r>
      <w:r w:rsidRPr="00746523">
        <w:rPr>
          <w:sz w:val="24"/>
          <w:szCs w:val="24"/>
          <w:highlight w:val="yellow"/>
          <w:lang w:val="es-ES"/>
        </w:rPr>
        <w:t xml:space="preserve">la Autoridad Marítima Argentina y se </w:t>
      </w:r>
      <w:r w:rsidR="00013C2F" w:rsidRPr="00746523">
        <w:rPr>
          <w:sz w:val="24"/>
          <w:szCs w:val="24"/>
          <w:highlight w:val="yellow"/>
          <w:lang w:val="es-ES"/>
        </w:rPr>
        <w:t>identifica como el órgano a travé</w:t>
      </w:r>
      <w:r w:rsidRPr="00746523">
        <w:rPr>
          <w:sz w:val="24"/>
          <w:szCs w:val="24"/>
          <w:highlight w:val="yellow"/>
          <w:lang w:val="es-ES"/>
        </w:rPr>
        <w:t>s del cual el Estado ejerce la Policía de Seguridad de la Navegación, de la s</w:t>
      </w:r>
      <w:r w:rsidR="00013C2F" w:rsidRPr="00746523">
        <w:rPr>
          <w:sz w:val="24"/>
          <w:szCs w:val="24"/>
          <w:highlight w:val="yellow"/>
          <w:lang w:val="es-ES"/>
        </w:rPr>
        <w:t>eguridad y el orden público en las aguas de jurisdicción nacional y en los puertos en el ejercicio de las obligaciones del país como Estado de Abanderamiento y Estado Rector del Puerto, para el registro de los buques y el control de sus condiciones de seguridad, según las leyes y reglamentaciones que le asignan estas competencias y los acuerdos internacionales respectivos.</w:t>
      </w:r>
    </w:p>
    <w:p w:rsidR="00D62A6E" w:rsidRPr="00835D1C" w:rsidRDefault="00D62A6E" w:rsidP="005F1E1C">
      <w:pPr>
        <w:jc w:val="both"/>
        <w:rPr>
          <w:b/>
          <w:sz w:val="28"/>
          <w:szCs w:val="28"/>
        </w:rPr>
      </w:pPr>
      <w:r w:rsidRPr="00835D1C">
        <w:rPr>
          <w:b/>
          <w:sz w:val="28"/>
          <w:szCs w:val="28"/>
        </w:rPr>
        <w:t>Metodología</w:t>
      </w:r>
      <w:r w:rsidR="006C2C94" w:rsidRPr="00835D1C">
        <w:rPr>
          <w:b/>
          <w:sz w:val="28"/>
          <w:szCs w:val="28"/>
        </w:rPr>
        <w:t xml:space="preserve"> y Marco Teórico</w:t>
      </w:r>
    </w:p>
    <w:p w:rsidR="00D66FE2" w:rsidRPr="00835D1C" w:rsidRDefault="00D66FE2" w:rsidP="005F1E1C">
      <w:pPr>
        <w:jc w:val="both"/>
        <w:rPr>
          <w:sz w:val="24"/>
          <w:szCs w:val="24"/>
          <w:highlight w:val="yellow"/>
        </w:rPr>
      </w:pPr>
      <w:r w:rsidRPr="00835D1C">
        <w:rPr>
          <w:sz w:val="24"/>
          <w:szCs w:val="24"/>
          <w:highlight w:val="yellow"/>
        </w:rPr>
        <w:t>El análisis de series de tiempo propuesta y conformada por la AFM en el periodo 2007-2017, trata del estudio del comportamiento la serie utilizando como fuente de información los valores pasados que la componen.</w:t>
      </w:r>
    </w:p>
    <w:p w:rsidR="00D66FE2" w:rsidRPr="00835D1C" w:rsidRDefault="00D66FE2" w:rsidP="005F1E1C">
      <w:pPr>
        <w:jc w:val="both"/>
        <w:rPr>
          <w:sz w:val="24"/>
          <w:szCs w:val="24"/>
          <w:highlight w:val="yellow"/>
        </w:rPr>
      </w:pPr>
      <w:r w:rsidRPr="00835D1C">
        <w:rPr>
          <w:sz w:val="24"/>
          <w:szCs w:val="24"/>
          <w:highlight w:val="yellow"/>
        </w:rPr>
        <w:t>Para ello</w:t>
      </w:r>
      <w:r w:rsidR="00A12599" w:rsidRPr="00835D1C">
        <w:rPr>
          <w:sz w:val="24"/>
          <w:szCs w:val="24"/>
          <w:highlight w:val="yellow"/>
        </w:rPr>
        <w:t>,</w:t>
      </w:r>
      <w:r w:rsidRPr="00835D1C">
        <w:rPr>
          <w:sz w:val="24"/>
          <w:szCs w:val="24"/>
          <w:highlight w:val="yellow"/>
        </w:rPr>
        <w:t xml:space="preserve"> </w:t>
      </w:r>
      <w:r w:rsidR="00A12599" w:rsidRPr="00835D1C">
        <w:rPr>
          <w:sz w:val="24"/>
          <w:szCs w:val="24"/>
          <w:highlight w:val="yellow"/>
        </w:rPr>
        <w:t>l</w:t>
      </w:r>
      <w:r w:rsidRPr="00835D1C">
        <w:rPr>
          <w:sz w:val="24"/>
          <w:szCs w:val="24"/>
          <w:highlight w:val="yellow"/>
        </w:rPr>
        <w:t xml:space="preserve">a metodología que se </w:t>
      </w:r>
      <w:r w:rsidR="00A12599" w:rsidRPr="00835D1C">
        <w:rPr>
          <w:sz w:val="24"/>
          <w:szCs w:val="24"/>
          <w:highlight w:val="yellow"/>
        </w:rPr>
        <w:t>utilizara</w:t>
      </w:r>
      <w:r w:rsidRPr="00835D1C">
        <w:rPr>
          <w:sz w:val="24"/>
          <w:szCs w:val="24"/>
          <w:highlight w:val="yellow"/>
        </w:rPr>
        <w:t xml:space="preserve"> para el análisis es la aportada por los investigadores Box y Jenkins, por lo que se conoce este tipo de análisis de series temporal</w:t>
      </w:r>
      <w:r w:rsidR="00A12599" w:rsidRPr="00835D1C">
        <w:rPr>
          <w:sz w:val="24"/>
          <w:szCs w:val="24"/>
          <w:highlight w:val="yellow"/>
        </w:rPr>
        <w:t>es como análisis de Box Jenkins, también llamada con</w:t>
      </w:r>
      <w:r w:rsidRPr="00835D1C">
        <w:rPr>
          <w:sz w:val="24"/>
          <w:szCs w:val="24"/>
          <w:highlight w:val="yellow"/>
        </w:rPr>
        <w:t xml:space="preserve"> l</w:t>
      </w:r>
      <w:r w:rsidR="00A12599" w:rsidRPr="00835D1C">
        <w:rPr>
          <w:sz w:val="24"/>
          <w:szCs w:val="24"/>
          <w:highlight w:val="yellow"/>
        </w:rPr>
        <w:t>a denominación de modelos ARIMA (acrónimo del inglés autoregressive integrated moving average) en referencia a un modelo autorregresivo integrado de promedio móvil o AR, este modelo estadístico utiliza variaciones y regresiones de datos estadísticos con el fin de encontrar patrones para una predicción hacia el futuro. Se trata de un modelo dinámico de series temporales, es decir, las estimaciones futuras vienen explicadas por los datos del pasado y no por variables independientes.</w:t>
      </w:r>
    </w:p>
    <w:p w:rsidR="002D730B" w:rsidRPr="00835D1C" w:rsidRDefault="002D730B" w:rsidP="005F1E1C">
      <w:pPr>
        <w:jc w:val="both"/>
        <w:rPr>
          <w:sz w:val="24"/>
          <w:szCs w:val="24"/>
          <w:highlight w:val="yellow"/>
        </w:rPr>
      </w:pPr>
      <w:r w:rsidRPr="00835D1C">
        <w:rPr>
          <w:sz w:val="24"/>
          <w:szCs w:val="24"/>
          <w:highlight w:val="yellow"/>
        </w:rPr>
        <w:t xml:space="preserve">Para la estimación de las elasticidades se utiliza la metodología de Granger C., demostrando que las series están cointegradas. De esa forma se pueden obtener relaciones de largo plazo </w:t>
      </w:r>
      <w:r w:rsidRPr="00835D1C">
        <w:rPr>
          <w:sz w:val="24"/>
          <w:szCs w:val="24"/>
          <w:highlight w:val="yellow"/>
        </w:rPr>
        <w:lastRenderedPageBreak/>
        <w:t>entre ellas, en este caso las elasticidades. Se utiliza un modelo log-log para la estimación, validado en el marco de la metodología citada.</w:t>
      </w:r>
    </w:p>
    <w:p w:rsidR="002D730B" w:rsidRPr="00B42455" w:rsidRDefault="002D730B" w:rsidP="005F1E1C">
      <w:pPr>
        <w:jc w:val="both"/>
        <w:rPr>
          <w:sz w:val="24"/>
          <w:szCs w:val="24"/>
        </w:rPr>
      </w:pPr>
      <w:r w:rsidRPr="00835D1C">
        <w:rPr>
          <w:sz w:val="24"/>
          <w:szCs w:val="24"/>
          <w:highlight w:val="yellow"/>
        </w:rPr>
        <w:t>Granger (Granger, C. and P. Newbold, 1974) demuestra que pueden encontrarse coeficientes significativos en relaciones entre variables independientes. En función de ello, define el concepto de regresión espúrea. Para evitar este tipo de regresiones, propone el estudio de la estacionariedad de las series involucradas. Posteriormente demuestra que, aún para series no estacionarias, puede evitarse el problema de la regresión espúrea; si se demuestra que las series poseen una relación de cointegración.</w:t>
      </w:r>
      <w:r w:rsidRPr="00B42455">
        <w:rPr>
          <w:sz w:val="24"/>
          <w:szCs w:val="24"/>
        </w:rPr>
        <w:t xml:space="preserve"> </w:t>
      </w:r>
    </w:p>
    <w:p w:rsidR="001412C0" w:rsidRPr="00835D1C" w:rsidRDefault="001412C0" w:rsidP="005F1E1C">
      <w:pPr>
        <w:jc w:val="both"/>
        <w:rPr>
          <w:b/>
          <w:sz w:val="28"/>
          <w:szCs w:val="28"/>
        </w:rPr>
      </w:pPr>
      <w:r w:rsidRPr="00835D1C">
        <w:rPr>
          <w:b/>
          <w:sz w:val="28"/>
          <w:szCs w:val="28"/>
        </w:rPr>
        <w:t>Análisis de las series</w:t>
      </w:r>
      <w:r w:rsidR="00835D1C">
        <w:rPr>
          <w:b/>
          <w:sz w:val="28"/>
          <w:szCs w:val="28"/>
        </w:rPr>
        <w:t xml:space="preserve"> de Tiempo (AFM, TC, EMAE).</w:t>
      </w:r>
    </w:p>
    <w:p w:rsidR="001412C0" w:rsidRPr="00B42455" w:rsidRDefault="001412C0" w:rsidP="005F1E1C">
      <w:pPr>
        <w:jc w:val="both"/>
        <w:rPr>
          <w:sz w:val="24"/>
          <w:szCs w:val="24"/>
        </w:rPr>
      </w:pPr>
      <w:r w:rsidRPr="00B42455">
        <w:rPr>
          <w:sz w:val="24"/>
          <w:szCs w:val="24"/>
        </w:rPr>
        <w:t>Primeramente se realiza un breve análisis de estadística descriptiva de las series. A continuación se presentan los gráficos y distribuciones de las mismas.</w:t>
      </w:r>
      <w:r w:rsidR="003556AA" w:rsidRPr="00B42455">
        <w:rPr>
          <w:sz w:val="24"/>
          <w:szCs w:val="24"/>
        </w:rPr>
        <w:t xml:space="preserve"> De izquierda a derecha: AFM, TC y EMAE.</w:t>
      </w:r>
    </w:p>
    <w:p w:rsidR="003556AA" w:rsidRPr="00835D1C" w:rsidRDefault="003556AA" w:rsidP="005F1E1C">
      <w:pPr>
        <w:jc w:val="center"/>
        <w:rPr>
          <w:b/>
          <w:i/>
          <w:sz w:val="24"/>
          <w:szCs w:val="24"/>
          <w:u w:val="single"/>
        </w:rPr>
      </w:pPr>
      <w:r w:rsidRPr="00835D1C">
        <w:rPr>
          <w:b/>
          <w:i/>
          <w:sz w:val="24"/>
          <w:szCs w:val="24"/>
          <w:u w:val="single"/>
        </w:rPr>
        <w:t>Gráficos</w:t>
      </w:r>
    </w:p>
    <w:p w:rsidR="001412C0" w:rsidRPr="00B42455" w:rsidRDefault="001412C0" w:rsidP="005F1E1C">
      <w:pPr>
        <w:jc w:val="both"/>
        <w:rPr>
          <w:sz w:val="24"/>
          <w:szCs w:val="24"/>
        </w:rPr>
      </w:pPr>
      <w:r w:rsidRPr="00B42455">
        <w:rPr>
          <w:noProof/>
          <w:sz w:val="24"/>
          <w:szCs w:val="24"/>
          <w:lang w:val="es-ES" w:eastAsia="es-ES"/>
        </w:rPr>
        <w:drawing>
          <wp:inline distT="0" distB="0" distL="0" distR="0" wp14:anchorId="53624CEB" wp14:editId="7D2DBDFE">
            <wp:extent cx="5827690" cy="1933575"/>
            <wp:effectExtent l="19050" t="19050" r="2095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4937" cy="1939297"/>
                    </a:xfrm>
                    <a:prstGeom prst="rect">
                      <a:avLst/>
                    </a:prstGeom>
                    <a:noFill/>
                    <a:ln>
                      <a:solidFill>
                        <a:schemeClr val="accent1"/>
                      </a:solidFill>
                    </a:ln>
                  </pic:spPr>
                </pic:pic>
              </a:graphicData>
            </a:graphic>
          </wp:inline>
        </w:drawing>
      </w:r>
    </w:p>
    <w:p w:rsidR="003556AA" w:rsidRPr="00835D1C" w:rsidRDefault="003556AA" w:rsidP="005F1E1C">
      <w:pPr>
        <w:jc w:val="center"/>
        <w:rPr>
          <w:b/>
          <w:i/>
          <w:sz w:val="28"/>
          <w:szCs w:val="28"/>
          <w:u w:val="single"/>
        </w:rPr>
      </w:pPr>
      <w:r w:rsidRPr="00835D1C">
        <w:rPr>
          <w:b/>
          <w:i/>
          <w:sz w:val="24"/>
          <w:szCs w:val="24"/>
          <w:u w:val="single"/>
        </w:rPr>
        <w:t>Histogramas</w:t>
      </w:r>
    </w:p>
    <w:p w:rsidR="003556AA" w:rsidRPr="00B42455" w:rsidRDefault="003556AA" w:rsidP="00835D1C">
      <w:pPr>
        <w:jc w:val="center"/>
        <w:rPr>
          <w:sz w:val="24"/>
          <w:szCs w:val="24"/>
        </w:rPr>
      </w:pPr>
      <w:r w:rsidRPr="00B42455">
        <w:rPr>
          <w:noProof/>
          <w:sz w:val="24"/>
          <w:szCs w:val="24"/>
          <w:lang w:val="es-ES" w:eastAsia="es-ES"/>
        </w:rPr>
        <w:drawing>
          <wp:inline distT="0" distB="0" distL="0" distR="0" wp14:anchorId="5EDEA552" wp14:editId="1E7911EF">
            <wp:extent cx="5857240" cy="1981200"/>
            <wp:effectExtent l="19050" t="19050" r="10160" b="190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8699" cy="1981694"/>
                    </a:xfrm>
                    <a:prstGeom prst="rect">
                      <a:avLst/>
                    </a:prstGeom>
                    <a:noFill/>
                    <a:ln>
                      <a:solidFill>
                        <a:schemeClr val="accent1"/>
                      </a:solidFill>
                    </a:ln>
                  </pic:spPr>
                </pic:pic>
              </a:graphicData>
            </a:graphic>
          </wp:inline>
        </w:drawing>
      </w:r>
    </w:p>
    <w:p w:rsidR="003556AA" w:rsidRPr="00B42455" w:rsidRDefault="003556AA" w:rsidP="005F1E1C">
      <w:pPr>
        <w:jc w:val="both"/>
        <w:rPr>
          <w:sz w:val="24"/>
          <w:szCs w:val="24"/>
        </w:rPr>
      </w:pPr>
      <w:r w:rsidRPr="00B42455">
        <w:rPr>
          <w:sz w:val="24"/>
          <w:szCs w:val="24"/>
        </w:rPr>
        <w:lastRenderedPageBreak/>
        <w:t>Adicionalmente se presentan las tablas de los principales indicadores estadísticos:</w:t>
      </w:r>
    </w:p>
    <w:p w:rsidR="003556AA" w:rsidRDefault="003556AA" w:rsidP="005F1E1C">
      <w:pPr>
        <w:jc w:val="center"/>
        <w:rPr>
          <w:sz w:val="24"/>
          <w:szCs w:val="24"/>
        </w:rPr>
      </w:pPr>
      <w:r w:rsidRPr="00B42455">
        <w:rPr>
          <w:noProof/>
          <w:sz w:val="24"/>
          <w:szCs w:val="24"/>
          <w:lang w:val="es-ES" w:eastAsia="es-ES"/>
        </w:rPr>
        <w:drawing>
          <wp:inline distT="0" distB="0" distL="0" distR="0" wp14:anchorId="25B1BAD1" wp14:editId="2E58B839">
            <wp:extent cx="5076825" cy="2528760"/>
            <wp:effectExtent l="19050" t="19050" r="9525" b="2413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8715" cy="2544644"/>
                    </a:xfrm>
                    <a:prstGeom prst="rect">
                      <a:avLst/>
                    </a:prstGeom>
                    <a:noFill/>
                    <a:ln>
                      <a:solidFill>
                        <a:schemeClr val="accent1"/>
                      </a:solidFill>
                    </a:ln>
                  </pic:spPr>
                </pic:pic>
              </a:graphicData>
            </a:graphic>
          </wp:inline>
        </w:drawing>
      </w:r>
    </w:p>
    <w:p w:rsidR="00835D1C" w:rsidRPr="00B42455" w:rsidRDefault="00835D1C" w:rsidP="005F1E1C">
      <w:pPr>
        <w:jc w:val="center"/>
        <w:rPr>
          <w:sz w:val="24"/>
          <w:szCs w:val="24"/>
        </w:rPr>
      </w:pPr>
    </w:p>
    <w:p w:rsidR="00835D1C" w:rsidRPr="00835D1C" w:rsidRDefault="00835D1C" w:rsidP="005F1E1C">
      <w:pPr>
        <w:jc w:val="both"/>
        <w:rPr>
          <w:b/>
          <w:sz w:val="28"/>
          <w:szCs w:val="28"/>
        </w:rPr>
      </w:pPr>
      <w:r w:rsidRPr="00835D1C">
        <w:rPr>
          <w:b/>
          <w:sz w:val="28"/>
          <w:szCs w:val="28"/>
        </w:rPr>
        <w:t>Análisis de Estacionalidad de la Seria – Test de Dickey Füller</w:t>
      </w:r>
      <w:r>
        <w:rPr>
          <w:b/>
          <w:sz w:val="28"/>
          <w:szCs w:val="28"/>
        </w:rPr>
        <w:t>.</w:t>
      </w:r>
    </w:p>
    <w:p w:rsidR="003556AA" w:rsidRPr="00B42455" w:rsidRDefault="003556AA" w:rsidP="005F1E1C">
      <w:pPr>
        <w:jc w:val="both"/>
        <w:rPr>
          <w:sz w:val="24"/>
          <w:szCs w:val="24"/>
        </w:rPr>
      </w:pPr>
      <w:r w:rsidRPr="00B42455">
        <w:rPr>
          <w:sz w:val="24"/>
          <w:szCs w:val="24"/>
        </w:rPr>
        <w:t xml:space="preserve">A continuación se </w:t>
      </w:r>
      <w:r w:rsidR="001412C0" w:rsidRPr="00B42455">
        <w:rPr>
          <w:sz w:val="24"/>
          <w:szCs w:val="24"/>
        </w:rPr>
        <w:t xml:space="preserve">analiza la estacionariedad de las series. </w:t>
      </w:r>
      <w:r w:rsidRPr="00B42455">
        <w:rPr>
          <w:sz w:val="24"/>
          <w:szCs w:val="24"/>
        </w:rPr>
        <w:t xml:space="preserve">Para ello se </w:t>
      </w:r>
      <w:r w:rsidR="001412C0" w:rsidRPr="00B42455">
        <w:rPr>
          <w:sz w:val="24"/>
          <w:szCs w:val="24"/>
        </w:rPr>
        <w:t>presentan</w:t>
      </w:r>
      <w:r w:rsidRPr="00B42455">
        <w:rPr>
          <w:sz w:val="24"/>
          <w:szCs w:val="24"/>
        </w:rPr>
        <w:t xml:space="preserve"> los correlogramas</w:t>
      </w:r>
      <w:r w:rsidR="001412C0" w:rsidRPr="00B42455">
        <w:rPr>
          <w:sz w:val="24"/>
          <w:szCs w:val="24"/>
        </w:rPr>
        <w:t xml:space="preserve"> y sus respectivos test de Dickey Füller (DF)</w:t>
      </w:r>
      <w:r w:rsidRPr="00B42455">
        <w:rPr>
          <w:sz w:val="24"/>
          <w:szCs w:val="24"/>
        </w:rPr>
        <w:t xml:space="preserve"> en niveles.</w:t>
      </w:r>
      <w:r w:rsidR="001412C0" w:rsidRPr="00B42455">
        <w:rPr>
          <w:sz w:val="24"/>
          <w:szCs w:val="24"/>
        </w:rPr>
        <w:t xml:space="preserve"> </w:t>
      </w:r>
    </w:p>
    <w:p w:rsidR="003556AA" w:rsidRPr="00835D1C" w:rsidRDefault="003556AA" w:rsidP="005F1E1C">
      <w:pPr>
        <w:jc w:val="center"/>
        <w:rPr>
          <w:b/>
          <w:i/>
          <w:sz w:val="24"/>
          <w:szCs w:val="24"/>
          <w:u w:val="single"/>
        </w:rPr>
      </w:pPr>
      <w:r w:rsidRPr="00835D1C">
        <w:rPr>
          <w:b/>
          <w:i/>
          <w:sz w:val="24"/>
          <w:szCs w:val="24"/>
          <w:u w:val="single"/>
        </w:rPr>
        <w:t>Correlogramas</w:t>
      </w:r>
    </w:p>
    <w:p w:rsidR="003556AA" w:rsidRDefault="003556AA" w:rsidP="00835D1C">
      <w:pPr>
        <w:jc w:val="center"/>
        <w:rPr>
          <w:sz w:val="24"/>
          <w:szCs w:val="24"/>
        </w:rPr>
      </w:pPr>
      <w:r w:rsidRPr="00B42455">
        <w:rPr>
          <w:noProof/>
          <w:sz w:val="24"/>
          <w:szCs w:val="24"/>
          <w:lang w:val="es-ES" w:eastAsia="es-ES"/>
        </w:rPr>
        <w:drawing>
          <wp:inline distT="0" distB="0" distL="0" distR="0" wp14:anchorId="1CA02373" wp14:editId="467CA3DB">
            <wp:extent cx="5657850" cy="3389243"/>
            <wp:effectExtent l="19050" t="19050" r="19050" b="209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2429" cy="3391986"/>
                    </a:xfrm>
                    <a:prstGeom prst="rect">
                      <a:avLst/>
                    </a:prstGeom>
                    <a:noFill/>
                    <a:ln>
                      <a:solidFill>
                        <a:schemeClr val="accent1"/>
                      </a:solidFill>
                    </a:ln>
                  </pic:spPr>
                </pic:pic>
              </a:graphicData>
            </a:graphic>
          </wp:inline>
        </w:drawing>
      </w:r>
    </w:p>
    <w:p w:rsidR="003556AA" w:rsidRPr="00835D1C" w:rsidRDefault="003556AA" w:rsidP="005F1E1C">
      <w:pPr>
        <w:jc w:val="center"/>
        <w:rPr>
          <w:b/>
          <w:i/>
          <w:sz w:val="28"/>
          <w:szCs w:val="28"/>
          <w:u w:val="single"/>
        </w:rPr>
      </w:pPr>
      <w:r w:rsidRPr="00835D1C">
        <w:rPr>
          <w:b/>
          <w:i/>
          <w:sz w:val="28"/>
          <w:szCs w:val="28"/>
          <w:u w:val="single"/>
        </w:rPr>
        <w:lastRenderedPageBreak/>
        <w:t>Test DF</w:t>
      </w:r>
    </w:p>
    <w:p w:rsidR="001412C0" w:rsidRPr="00B42455" w:rsidRDefault="001412C0" w:rsidP="005F1E1C">
      <w:pPr>
        <w:jc w:val="center"/>
        <w:rPr>
          <w:sz w:val="24"/>
          <w:szCs w:val="24"/>
        </w:rPr>
      </w:pPr>
      <w:r w:rsidRPr="00B42455">
        <w:rPr>
          <w:noProof/>
          <w:sz w:val="24"/>
          <w:szCs w:val="24"/>
          <w:lang w:val="es-ES" w:eastAsia="es-ES"/>
        </w:rPr>
        <w:drawing>
          <wp:inline distT="0" distB="0" distL="0" distR="0" wp14:anchorId="36A6E16D" wp14:editId="3B22D669">
            <wp:extent cx="3886510" cy="1809750"/>
            <wp:effectExtent l="19050" t="19050" r="1905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9486" cy="1834418"/>
                    </a:xfrm>
                    <a:prstGeom prst="rect">
                      <a:avLst/>
                    </a:prstGeom>
                    <a:noFill/>
                    <a:ln>
                      <a:solidFill>
                        <a:schemeClr val="accent1"/>
                      </a:solidFill>
                    </a:ln>
                  </pic:spPr>
                </pic:pic>
              </a:graphicData>
            </a:graphic>
          </wp:inline>
        </w:drawing>
      </w:r>
    </w:p>
    <w:p w:rsidR="001412C0" w:rsidRPr="00B42455" w:rsidRDefault="001412C0" w:rsidP="005F1E1C">
      <w:pPr>
        <w:jc w:val="center"/>
        <w:rPr>
          <w:sz w:val="24"/>
          <w:szCs w:val="24"/>
        </w:rPr>
      </w:pPr>
      <w:r w:rsidRPr="00B42455">
        <w:rPr>
          <w:noProof/>
          <w:sz w:val="24"/>
          <w:szCs w:val="24"/>
          <w:lang w:val="es-ES" w:eastAsia="es-ES"/>
        </w:rPr>
        <w:drawing>
          <wp:inline distT="0" distB="0" distL="0" distR="0" wp14:anchorId="42883C62" wp14:editId="7F8144F4">
            <wp:extent cx="3895983" cy="1790700"/>
            <wp:effectExtent l="19050" t="19050" r="28575"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2665" cy="1812156"/>
                    </a:xfrm>
                    <a:prstGeom prst="rect">
                      <a:avLst/>
                    </a:prstGeom>
                    <a:noFill/>
                    <a:ln>
                      <a:solidFill>
                        <a:schemeClr val="accent1"/>
                      </a:solidFill>
                    </a:ln>
                  </pic:spPr>
                </pic:pic>
              </a:graphicData>
            </a:graphic>
          </wp:inline>
        </w:drawing>
      </w:r>
    </w:p>
    <w:p w:rsidR="001412C0" w:rsidRPr="00B42455" w:rsidRDefault="001412C0" w:rsidP="005F1E1C">
      <w:pPr>
        <w:jc w:val="center"/>
        <w:rPr>
          <w:sz w:val="24"/>
          <w:szCs w:val="24"/>
        </w:rPr>
      </w:pPr>
      <w:r w:rsidRPr="00B42455">
        <w:rPr>
          <w:noProof/>
          <w:sz w:val="24"/>
          <w:szCs w:val="24"/>
          <w:lang w:val="es-ES" w:eastAsia="es-ES"/>
        </w:rPr>
        <w:drawing>
          <wp:inline distT="0" distB="0" distL="0" distR="0" wp14:anchorId="1D3F3E2D" wp14:editId="1E410FCE">
            <wp:extent cx="3871356" cy="1828800"/>
            <wp:effectExtent l="19050" t="19050" r="15240"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3751" cy="1848827"/>
                    </a:xfrm>
                    <a:prstGeom prst="rect">
                      <a:avLst/>
                    </a:prstGeom>
                    <a:noFill/>
                    <a:ln>
                      <a:solidFill>
                        <a:schemeClr val="accent1"/>
                      </a:solidFill>
                    </a:ln>
                  </pic:spPr>
                </pic:pic>
              </a:graphicData>
            </a:graphic>
          </wp:inline>
        </w:drawing>
      </w:r>
    </w:p>
    <w:p w:rsidR="001412C0" w:rsidRDefault="003556AA" w:rsidP="005F1E1C">
      <w:pPr>
        <w:jc w:val="both"/>
        <w:rPr>
          <w:sz w:val="24"/>
          <w:szCs w:val="24"/>
        </w:rPr>
      </w:pPr>
      <w:r w:rsidRPr="00B42455">
        <w:rPr>
          <w:sz w:val="24"/>
          <w:szCs w:val="24"/>
        </w:rPr>
        <w:t>Como puede apreciarse en los resultados de los test de raíz unitaria, las tres series son no estacionarias, es de</w:t>
      </w:r>
      <w:r w:rsidR="00835D1C">
        <w:rPr>
          <w:sz w:val="24"/>
          <w:szCs w:val="24"/>
        </w:rPr>
        <w:t>cir que revisten la calidad de Random W</w:t>
      </w:r>
      <w:r w:rsidRPr="00B42455">
        <w:rPr>
          <w:sz w:val="24"/>
          <w:szCs w:val="24"/>
        </w:rPr>
        <w:t xml:space="preserve">alk. </w:t>
      </w:r>
      <w:r w:rsidR="001412C0" w:rsidRPr="00B42455">
        <w:rPr>
          <w:sz w:val="24"/>
          <w:szCs w:val="24"/>
        </w:rPr>
        <w:t xml:space="preserve">Debido a </w:t>
      </w:r>
      <w:r w:rsidRPr="00B42455">
        <w:rPr>
          <w:sz w:val="24"/>
          <w:szCs w:val="24"/>
        </w:rPr>
        <w:t>ello</w:t>
      </w:r>
      <w:r w:rsidR="001412C0" w:rsidRPr="00B42455">
        <w:rPr>
          <w:sz w:val="24"/>
          <w:szCs w:val="24"/>
        </w:rPr>
        <w:t>, se practicaron los mismos tests a las diferencias de primer orden de las series. Los resultados que se presentan a continuación indican que las tres series son integrables de orden 1. Esto implica que la transformación aplicada (diferencia de primer orden) soluciona el problema de no estacionariedad.</w:t>
      </w:r>
    </w:p>
    <w:p w:rsidR="008544B6" w:rsidRPr="00B42455" w:rsidRDefault="008544B6" w:rsidP="005F1E1C">
      <w:pPr>
        <w:jc w:val="both"/>
        <w:rPr>
          <w:sz w:val="24"/>
          <w:szCs w:val="24"/>
        </w:rPr>
      </w:pPr>
    </w:p>
    <w:p w:rsidR="003556AA" w:rsidRPr="005E0515" w:rsidRDefault="005E0515" w:rsidP="005F1E1C">
      <w:pPr>
        <w:jc w:val="center"/>
        <w:rPr>
          <w:b/>
          <w:i/>
          <w:sz w:val="24"/>
          <w:szCs w:val="24"/>
          <w:u w:val="single"/>
        </w:rPr>
      </w:pPr>
      <w:r>
        <w:rPr>
          <w:b/>
          <w:i/>
          <w:sz w:val="24"/>
          <w:szCs w:val="24"/>
          <w:u w:val="single"/>
        </w:rPr>
        <w:lastRenderedPageBreak/>
        <w:t>Test DF en P</w:t>
      </w:r>
      <w:r w:rsidR="003556AA" w:rsidRPr="005E0515">
        <w:rPr>
          <w:b/>
          <w:i/>
          <w:sz w:val="24"/>
          <w:szCs w:val="24"/>
          <w:u w:val="single"/>
        </w:rPr>
        <w:t>rimeras diferencias</w:t>
      </w:r>
    </w:p>
    <w:p w:rsidR="001412C0" w:rsidRPr="00B42455" w:rsidRDefault="001412C0" w:rsidP="005F1E1C">
      <w:pPr>
        <w:jc w:val="center"/>
        <w:rPr>
          <w:sz w:val="24"/>
          <w:szCs w:val="24"/>
        </w:rPr>
      </w:pPr>
      <w:r w:rsidRPr="00B42455">
        <w:rPr>
          <w:noProof/>
          <w:sz w:val="24"/>
          <w:szCs w:val="24"/>
          <w:lang w:val="es-ES" w:eastAsia="es-ES"/>
        </w:rPr>
        <w:drawing>
          <wp:inline distT="0" distB="0" distL="0" distR="0" wp14:anchorId="410801F1" wp14:editId="6B3F458D">
            <wp:extent cx="3778423" cy="1781175"/>
            <wp:effectExtent l="19050" t="19050" r="1270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4804" cy="1798325"/>
                    </a:xfrm>
                    <a:prstGeom prst="rect">
                      <a:avLst/>
                    </a:prstGeom>
                    <a:noFill/>
                    <a:ln>
                      <a:solidFill>
                        <a:schemeClr val="accent1"/>
                      </a:solidFill>
                    </a:ln>
                  </pic:spPr>
                </pic:pic>
              </a:graphicData>
            </a:graphic>
          </wp:inline>
        </w:drawing>
      </w:r>
    </w:p>
    <w:p w:rsidR="001412C0" w:rsidRPr="00B42455" w:rsidRDefault="001412C0" w:rsidP="005F1E1C">
      <w:pPr>
        <w:jc w:val="center"/>
        <w:rPr>
          <w:sz w:val="24"/>
          <w:szCs w:val="24"/>
        </w:rPr>
      </w:pPr>
      <w:r w:rsidRPr="00B42455">
        <w:rPr>
          <w:noProof/>
          <w:sz w:val="24"/>
          <w:szCs w:val="24"/>
          <w:lang w:val="es-ES" w:eastAsia="es-ES"/>
        </w:rPr>
        <w:drawing>
          <wp:inline distT="0" distB="0" distL="0" distR="0" wp14:anchorId="755C2B9B" wp14:editId="6C01BD09">
            <wp:extent cx="3750835" cy="1714500"/>
            <wp:effectExtent l="19050" t="19050" r="21590"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6352" cy="1726164"/>
                    </a:xfrm>
                    <a:prstGeom prst="rect">
                      <a:avLst/>
                    </a:prstGeom>
                    <a:noFill/>
                    <a:ln>
                      <a:solidFill>
                        <a:schemeClr val="accent1"/>
                      </a:solidFill>
                    </a:ln>
                  </pic:spPr>
                </pic:pic>
              </a:graphicData>
            </a:graphic>
          </wp:inline>
        </w:drawing>
      </w:r>
    </w:p>
    <w:p w:rsidR="001412C0" w:rsidRPr="00B42455" w:rsidRDefault="001412C0" w:rsidP="005F1E1C">
      <w:pPr>
        <w:jc w:val="center"/>
        <w:rPr>
          <w:sz w:val="24"/>
          <w:szCs w:val="24"/>
        </w:rPr>
      </w:pPr>
      <w:r w:rsidRPr="00B42455">
        <w:rPr>
          <w:noProof/>
          <w:sz w:val="24"/>
          <w:szCs w:val="24"/>
          <w:lang w:val="es-ES" w:eastAsia="es-ES"/>
        </w:rPr>
        <w:drawing>
          <wp:inline distT="0" distB="0" distL="0" distR="0" wp14:anchorId="19BDF97C" wp14:editId="2818BD3A">
            <wp:extent cx="3756154" cy="1857375"/>
            <wp:effectExtent l="19050" t="19050" r="1587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7109" cy="1867737"/>
                    </a:xfrm>
                    <a:prstGeom prst="rect">
                      <a:avLst/>
                    </a:prstGeom>
                    <a:noFill/>
                    <a:ln>
                      <a:solidFill>
                        <a:schemeClr val="accent1"/>
                      </a:solidFill>
                    </a:ln>
                  </pic:spPr>
                </pic:pic>
              </a:graphicData>
            </a:graphic>
          </wp:inline>
        </w:drawing>
      </w:r>
    </w:p>
    <w:p w:rsidR="001412C0" w:rsidRPr="00B42455" w:rsidRDefault="008544B6" w:rsidP="005F1E1C">
      <w:pPr>
        <w:jc w:val="both"/>
        <w:rPr>
          <w:sz w:val="24"/>
          <w:szCs w:val="24"/>
        </w:rPr>
      </w:pPr>
      <w:r>
        <w:rPr>
          <w:sz w:val="24"/>
          <w:szCs w:val="24"/>
        </w:rPr>
        <w:t>Como consecuencia</w:t>
      </w:r>
      <w:r w:rsidR="00360F7B" w:rsidRPr="00B42455">
        <w:rPr>
          <w:sz w:val="24"/>
          <w:szCs w:val="24"/>
        </w:rPr>
        <w:t xml:space="preserve"> del análisis realizado</w:t>
      </w:r>
      <w:r>
        <w:rPr>
          <w:sz w:val="24"/>
          <w:szCs w:val="24"/>
        </w:rPr>
        <w:t xml:space="preserve"> y los resultados obtenidos</w:t>
      </w:r>
      <w:r w:rsidR="00360F7B" w:rsidRPr="00B42455">
        <w:rPr>
          <w:sz w:val="24"/>
          <w:szCs w:val="24"/>
        </w:rPr>
        <w:t xml:space="preserve"> se considerará realizar un modelo multivariado para las series en niveles, en la medida que las mismas presenten una relación de largo plazo de cointegración.  </w:t>
      </w:r>
    </w:p>
    <w:p w:rsidR="00360F7B" w:rsidRPr="008544B6" w:rsidRDefault="008544B6" w:rsidP="005F1E1C">
      <w:pPr>
        <w:jc w:val="both"/>
        <w:rPr>
          <w:b/>
          <w:sz w:val="28"/>
          <w:szCs w:val="28"/>
        </w:rPr>
      </w:pPr>
      <w:r>
        <w:rPr>
          <w:b/>
          <w:sz w:val="28"/>
          <w:szCs w:val="28"/>
        </w:rPr>
        <w:t>Análisis de Ciclo y T</w:t>
      </w:r>
      <w:r w:rsidR="00FA32B0" w:rsidRPr="008544B6">
        <w:rPr>
          <w:b/>
          <w:sz w:val="28"/>
          <w:szCs w:val="28"/>
        </w:rPr>
        <w:t>endencia</w:t>
      </w:r>
    </w:p>
    <w:p w:rsidR="00FA32B0" w:rsidRPr="00B42455" w:rsidRDefault="00FA32B0" w:rsidP="005F1E1C">
      <w:pPr>
        <w:jc w:val="both"/>
        <w:rPr>
          <w:sz w:val="24"/>
          <w:szCs w:val="24"/>
        </w:rPr>
      </w:pPr>
      <w:r w:rsidRPr="00B42455">
        <w:rPr>
          <w:sz w:val="24"/>
          <w:szCs w:val="24"/>
        </w:rPr>
        <w:t xml:space="preserve">Con el fin de determinar si las series presentan </w:t>
      </w:r>
      <w:r w:rsidR="00E66C42" w:rsidRPr="00B42455">
        <w:rPr>
          <w:sz w:val="24"/>
          <w:szCs w:val="24"/>
        </w:rPr>
        <w:t>tendencia y ciclo se les aplicó el filtro de Hodrick-Prescott. Los resultados se exponen a continuación.</w:t>
      </w:r>
    </w:p>
    <w:p w:rsidR="00FA32B0" w:rsidRPr="00B42455" w:rsidRDefault="00FA32B0" w:rsidP="005F1E1C">
      <w:pPr>
        <w:jc w:val="center"/>
        <w:rPr>
          <w:sz w:val="24"/>
          <w:szCs w:val="24"/>
        </w:rPr>
      </w:pPr>
      <w:r w:rsidRPr="00B42455">
        <w:rPr>
          <w:noProof/>
          <w:sz w:val="24"/>
          <w:szCs w:val="24"/>
          <w:lang w:val="es-ES" w:eastAsia="es-ES"/>
        </w:rPr>
        <w:lastRenderedPageBreak/>
        <w:drawing>
          <wp:inline distT="0" distB="0" distL="0" distR="0">
            <wp:extent cx="5602605" cy="1838325"/>
            <wp:effectExtent l="19050" t="19050" r="17145" b="285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2605" cy="1838325"/>
                    </a:xfrm>
                    <a:prstGeom prst="rect">
                      <a:avLst/>
                    </a:prstGeom>
                    <a:noFill/>
                    <a:ln>
                      <a:solidFill>
                        <a:schemeClr val="accent1"/>
                      </a:solidFill>
                    </a:ln>
                  </pic:spPr>
                </pic:pic>
              </a:graphicData>
            </a:graphic>
          </wp:inline>
        </w:drawing>
      </w:r>
    </w:p>
    <w:p w:rsidR="00FA32B0" w:rsidRPr="00B42455" w:rsidRDefault="00E66C42" w:rsidP="005F1E1C">
      <w:pPr>
        <w:jc w:val="both"/>
        <w:rPr>
          <w:sz w:val="24"/>
          <w:szCs w:val="24"/>
        </w:rPr>
      </w:pPr>
      <w:r w:rsidRPr="009C606D">
        <w:rPr>
          <w:sz w:val="24"/>
          <w:szCs w:val="24"/>
          <w:highlight w:val="yellow"/>
        </w:rPr>
        <w:t>Dada la evidencia, se considera que la AFM y el EMAE no poseen una tendencia marcada, pero presentan comportamientos cíclicos que se deben a factores estacionales. Respecto del tipo de cambio, presenta una tendencia marcada y oscilaciones debidas a fenómenos monetarios asociados a las medidas d</w:t>
      </w:r>
      <w:r w:rsidR="008544B6" w:rsidRPr="009C606D">
        <w:rPr>
          <w:sz w:val="24"/>
          <w:szCs w:val="24"/>
          <w:highlight w:val="yellow"/>
        </w:rPr>
        <w:t xml:space="preserve">e política económica, </w:t>
      </w:r>
      <w:r w:rsidRPr="009C606D">
        <w:rPr>
          <w:sz w:val="24"/>
          <w:szCs w:val="24"/>
          <w:highlight w:val="yellow"/>
        </w:rPr>
        <w:t>presiones por e</w:t>
      </w:r>
      <w:r w:rsidR="008544B6" w:rsidRPr="009C606D">
        <w:rPr>
          <w:sz w:val="24"/>
          <w:szCs w:val="24"/>
          <w:highlight w:val="yellow"/>
        </w:rPr>
        <w:t xml:space="preserve">l lado de la demanda de dólares y las coyunturas internacionales que afectan directa o indirectamente al país y sus términos </w:t>
      </w:r>
      <w:r w:rsidR="009C606D" w:rsidRPr="009C606D">
        <w:rPr>
          <w:sz w:val="24"/>
          <w:szCs w:val="24"/>
          <w:highlight w:val="yellow"/>
        </w:rPr>
        <w:t>de intercam</w:t>
      </w:r>
      <w:r w:rsidR="008544B6" w:rsidRPr="009C606D">
        <w:rPr>
          <w:sz w:val="24"/>
          <w:szCs w:val="24"/>
          <w:highlight w:val="yellow"/>
        </w:rPr>
        <w:t>bio.</w:t>
      </w:r>
      <w:r w:rsidRPr="00B42455">
        <w:rPr>
          <w:sz w:val="24"/>
          <w:szCs w:val="24"/>
        </w:rPr>
        <w:t xml:space="preserve"> </w:t>
      </w:r>
    </w:p>
    <w:p w:rsidR="00360F7B" w:rsidRPr="008544B6" w:rsidRDefault="008544B6" w:rsidP="005F1E1C">
      <w:pPr>
        <w:jc w:val="both"/>
        <w:rPr>
          <w:rFonts w:cs="Arial"/>
          <w:b/>
          <w:sz w:val="28"/>
          <w:szCs w:val="28"/>
          <w:lang w:eastAsia="es-AR"/>
        </w:rPr>
      </w:pPr>
      <w:r>
        <w:rPr>
          <w:rFonts w:cs="Arial"/>
          <w:b/>
          <w:sz w:val="28"/>
          <w:szCs w:val="28"/>
          <w:lang w:eastAsia="es-AR"/>
        </w:rPr>
        <w:t>Modelo Teórico – Modelo E</w:t>
      </w:r>
      <w:r w:rsidR="00360F7B" w:rsidRPr="008544B6">
        <w:rPr>
          <w:rFonts w:cs="Arial"/>
          <w:b/>
          <w:sz w:val="28"/>
          <w:szCs w:val="28"/>
          <w:lang w:eastAsia="es-AR"/>
        </w:rPr>
        <w:t>conométrico</w:t>
      </w:r>
    </w:p>
    <w:p w:rsidR="00360F7B" w:rsidRPr="00B42455" w:rsidRDefault="00360F7B" w:rsidP="005F1E1C">
      <w:pPr>
        <w:jc w:val="both"/>
        <w:rPr>
          <w:sz w:val="24"/>
          <w:szCs w:val="24"/>
        </w:rPr>
      </w:pPr>
      <w:r w:rsidRPr="009C606D">
        <w:rPr>
          <w:sz w:val="24"/>
          <w:szCs w:val="24"/>
          <w:highlight w:val="yellow"/>
        </w:rPr>
        <w:t xml:space="preserve">En la especificación </w:t>
      </w:r>
      <w:r w:rsidR="009C606D" w:rsidRPr="009C606D">
        <w:rPr>
          <w:sz w:val="24"/>
          <w:szCs w:val="24"/>
          <w:highlight w:val="yellow"/>
        </w:rPr>
        <w:t xml:space="preserve">del modelo que se propone para explicar el comportamiento de la serie te tiempo AFM, </w:t>
      </w:r>
      <w:r w:rsidRPr="009C606D">
        <w:rPr>
          <w:sz w:val="24"/>
          <w:szCs w:val="24"/>
          <w:highlight w:val="yellow"/>
        </w:rPr>
        <w:t>se utiliza un modelo matemático o teórico de tipo Cobb Douglas, que luego se transforma, mediante la aplicación del logaritmo natural, en un modelo lineal pasible de ser objeto de la metodología econométrica de estimación. Las potencias de una función exponencial, son por definición las elasticidades de la variable dependiente respecto de la independiente, que conforma la base de la potencia.</w:t>
      </w:r>
      <w:r w:rsidRPr="009C606D">
        <w:rPr>
          <w:sz w:val="24"/>
          <w:szCs w:val="24"/>
          <w:highlight w:val="yellow"/>
          <w:vertAlign w:val="superscript"/>
        </w:rPr>
        <w:footnoteReference w:id="3"/>
      </w:r>
      <w:r w:rsidRPr="009C606D">
        <w:rPr>
          <w:sz w:val="24"/>
          <w:szCs w:val="24"/>
          <w:highlight w:val="yellow"/>
        </w:rPr>
        <w:t xml:space="preserve"> Al linealizar un modelo de este tipo </w:t>
      </w:r>
      <w:r w:rsidR="009C606D" w:rsidRPr="009C606D">
        <w:rPr>
          <w:sz w:val="24"/>
          <w:szCs w:val="24"/>
          <w:highlight w:val="yellow"/>
        </w:rPr>
        <w:t>puede</w:t>
      </w:r>
      <w:r w:rsidRPr="009C606D">
        <w:rPr>
          <w:sz w:val="24"/>
          <w:szCs w:val="24"/>
          <w:highlight w:val="yellow"/>
        </w:rPr>
        <w:t xml:space="preserve"> estimarse directamente los coeficientes de la función exponencial.</w:t>
      </w:r>
    </w:p>
    <w:p w:rsidR="00360F7B" w:rsidRPr="00746523" w:rsidRDefault="009C606D" w:rsidP="005F1E1C">
      <w:pPr>
        <w:jc w:val="both"/>
        <w:rPr>
          <w:color w:val="000000" w:themeColor="text1"/>
          <w:sz w:val="24"/>
          <w:szCs w:val="24"/>
        </w:rPr>
      </w:pPr>
      <w:r w:rsidRPr="00746523">
        <w:rPr>
          <w:i/>
          <w:color w:val="000000" w:themeColor="text1"/>
          <w:sz w:val="24"/>
          <w:szCs w:val="24"/>
          <w:highlight w:val="yellow"/>
        </w:rPr>
        <w:t>“</w:t>
      </w:r>
      <w:r w:rsidR="00360F7B" w:rsidRPr="00746523">
        <w:rPr>
          <w:i/>
          <w:color w:val="000000" w:themeColor="text1"/>
          <w:sz w:val="24"/>
          <w:szCs w:val="24"/>
          <w:highlight w:val="yellow"/>
        </w:rPr>
        <w:t>El modelo matemático constituye la definición del pr</w:t>
      </w:r>
      <w:r w:rsidRPr="00746523">
        <w:rPr>
          <w:i/>
          <w:color w:val="000000" w:themeColor="text1"/>
          <w:sz w:val="24"/>
          <w:szCs w:val="24"/>
          <w:highlight w:val="yellow"/>
        </w:rPr>
        <w:t>oblema de investigación empírica”</w:t>
      </w:r>
      <w:r w:rsidR="00360F7B" w:rsidRPr="00746523">
        <w:rPr>
          <w:color w:val="000000" w:themeColor="text1"/>
          <w:sz w:val="24"/>
          <w:szCs w:val="24"/>
          <w:highlight w:val="yellow"/>
        </w:rPr>
        <w:t xml:space="preserve">. La idea central es que esencialmente cuando se define el modelo matemático se realiza una </w:t>
      </w:r>
      <w:r w:rsidRPr="00746523">
        <w:rPr>
          <w:i/>
          <w:color w:val="000000" w:themeColor="text1"/>
          <w:sz w:val="24"/>
          <w:szCs w:val="24"/>
          <w:highlight w:val="yellow"/>
        </w:rPr>
        <w:t>"Selección de V</w:t>
      </w:r>
      <w:r w:rsidR="00360F7B" w:rsidRPr="00746523">
        <w:rPr>
          <w:i/>
          <w:color w:val="000000" w:themeColor="text1"/>
          <w:sz w:val="24"/>
          <w:szCs w:val="24"/>
          <w:highlight w:val="yellow"/>
        </w:rPr>
        <w:t>ariables",</w:t>
      </w:r>
      <w:r w:rsidR="00360F7B" w:rsidRPr="00746523">
        <w:rPr>
          <w:color w:val="000000" w:themeColor="text1"/>
          <w:sz w:val="24"/>
          <w:szCs w:val="24"/>
          <w:highlight w:val="yellow"/>
        </w:rPr>
        <w:t xml:space="preserve"> que viene determinada por la teoría económica. En este trabajo, se utiliza un modelo exponencial que vincula la</w:t>
      </w:r>
      <w:r w:rsidR="00460ED8" w:rsidRPr="00746523">
        <w:rPr>
          <w:color w:val="000000" w:themeColor="text1"/>
          <w:sz w:val="24"/>
          <w:szCs w:val="24"/>
          <w:highlight w:val="yellow"/>
        </w:rPr>
        <w:t xml:space="preserve"> Actividad Fluvial y Marítima (AFM) relacionada</w:t>
      </w:r>
      <w:r w:rsidR="00360F7B" w:rsidRPr="00746523">
        <w:rPr>
          <w:color w:val="000000" w:themeColor="text1"/>
          <w:sz w:val="24"/>
          <w:szCs w:val="24"/>
          <w:highlight w:val="yellow"/>
        </w:rPr>
        <w:t xml:space="preserve"> al comercio con el tipo de cambio nominal y el EMAE.</w:t>
      </w:r>
    </w:p>
    <w:p w:rsidR="00360F7B" w:rsidRPr="00B42455" w:rsidRDefault="00360F7B" w:rsidP="005F1E1C">
      <w:pPr>
        <w:spacing w:after="0"/>
        <w:jc w:val="both"/>
        <w:rPr>
          <w:rFonts w:cs="Arial"/>
          <w:b/>
          <w:sz w:val="24"/>
          <w:szCs w:val="24"/>
        </w:rPr>
      </w:pPr>
      <w:r w:rsidRPr="00B42455">
        <w:rPr>
          <w:rFonts w:cs="Arial"/>
          <w:b/>
          <w:sz w:val="24"/>
          <w:szCs w:val="24"/>
        </w:rPr>
        <w:t>Especificación de los modelos</w:t>
      </w:r>
    </w:p>
    <w:p w:rsidR="00360F7B" w:rsidRPr="00B42455" w:rsidRDefault="00360F7B" w:rsidP="005F1E1C">
      <w:pPr>
        <w:jc w:val="both"/>
        <w:rPr>
          <w:sz w:val="24"/>
          <w:szCs w:val="24"/>
        </w:rPr>
      </w:pPr>
      <w:r w:rsidRPr="00B42455">
        <w:rPr>
          <w:sz w:val="24"/>
          <w:szCs w:val="24"/>
        </w:rPr>
        <w:t>El modelo teórico propuesto es el siguiente:</w:t>
      </w:r>
    </w:p>
    <w:p w:rsidR="00360F7B" w:rsidRPr="0019244A" w:rsidRDefault="00AB0E14" w:rsidP="005F1E1C">
      <w:pPr>
        <w:spacing w:after="0"/>
        <w:jc w:val="center"/>
        <w:rPr>
          <w:rFonts w:cs="Arial"/>
          <w:sz w:val="28"/>
          <w:szCs w:val="28"/>
          <w:lang w:eastAsia="es-AR"/>
        </w:rPr>
      </w:pPr>
      <m:oMathPara>
        <m:oMath>
          <m:sSub>
            <m:sSubPr>
              <m:ctrlPr>
                <w:rPr>
                  <w:rFonts w:ascii="Cambria Math" w:eastAsiaTheme="minorEastAsia" w:hAnsi="Cambria Math" w:cs="Arial"/>
                  <w:b/>
                  <w:i/>
                  <w:sz w:val="28"/>
                  <w:szCs w:val="28"/>
                  <w:lang w:eastAsia="es-AR"/>
                </w:rPr>
              </m:ctrlPr>
            </m:sSubPr>
            <m:e>
              <m:r>
                <m:rPr>
                  <m:sty m:val="bi"/>
                </m:rPr>
                <w:rPr>
                  <w:rFonts w:ascii="Cambria Math" w:eastAsiaTheme="minorEastAsia" w:hAnsi="Cambria Math" w:cs="Arial"/>
                  <w:sz w:val="28"/>
                  <w:szCs w:val="28"/>
                  <w:lang w:eastAsia="es-AR"/>
                </w:rPr>
                <m:t>AFM</m:t>
              </m:r>
            </m:e>
            <m:sub>
              <m:r>
                <m:rPr>
                  <m:sty m:val="bi"/>
                </m:rPr>
                <w:rPr>
                  <w:rFonts w:ascii="Cambria Math" w:eastAsiaTheme="minorEastAsia" w:hAnsi="Cambria Math" w:cs="Arial"/>
                  <w:sz w:val="28"/>
                  <w:szCs w:val="28"/>
                  <w:lang w:eastAsia="es-AR"/>
                </w:rPr>
                <m:t>t</m:t>
              </m:r>
            </m:sub>
          </m:sSub>
          <m:r>
            <m:rPr>
              <m:sty m:val="bi"/>
            </m:rPr>
            <w:rPr>
              <w:rFonts w:ascii="Cambria Math" w:eastAsiaTheme="minorEastAsia" w:hAnsi="Cambria Math" w:cs="Arial"/>
              <w:sz w:val="28"/>
              <w:szCs w:val="28"/>
              <w:lang w:eastAsia="es-AR"/>
            </w:rPr>
            <m:t xml:space="preserve">= α . </m:t>
          </m:r>
          <m:sSubSup>
            <m:sSubSupPr>
              <m:ctrlPr>
                <w:rPr>
                  <w:rFonts w:ascii="Cambria Math" w:eastAsiaTheme="minorEastAsia" w:hAnsi="Cambria Math" w:cs="Arial"/>
                  <w:b/>
                  <w:i/>
                  <w:sz w:val="28"/>
                  <w:szCs w:val="28"/>
                  <w:lang w:eastAsia="es-AR"/>
                </w:rPr>
              </m:ctrlPr>
            </m:sSubSupPr>
            <m:e>
              <m:r>
                <m:rPr>
                  <m:sty m:val="bi"/>
                </m:rPr>
                <w:rPr>
                  <w:rFonts w:ascii="Cambria Math" w:eastAsiaTheme="minorEastAsia" w:hAnsi="Cambria Math" w:cs="Arial"/>
                  <w:sz w:val="28"/>
                  <w:szCs w:val="28"/>
                  <w:lang w:eastAsia="es-AR"/>
                </w:rPr>
                <m:t>TCN</m:t>
              </m:r>
            </m:e>
            <m:sub>
              <m:r>
                <m:rPr>
                  <m:sty m:val="bi"/>
                </m:rPr>
                <w:rPr>
                  <w:rFonts w:ascii="Cambria Math" w:eastAsiaTheme="minorEastAsia" w:hAnsi="Cambria Math" w:cs="Arial"/>
                  <w:sz w:val="28"/>
                  <w:szCs w:val="28"/>
                  <w:lang w:eastAsia="es-AR"/>
                </w:rPr>
                <m:t>t</m:t>
              </m:r>
            </m:sub>
            <m:sup>
              <m:r>
                <m:rPr>
                  <m:sty m:val="bi"/>
                </m:rPr>
                <w:rPr>
                  <w:rFonts w:ascii="Cambria Math" w:eastAsiaTheme="minorEastAsia" w:hAnsi="Cambria Math" w:cs="Arial"/>
                  <w:sz w:val="28"/>
                  <w:szCs w:val="28"/>
                  <w:lang w:eastAsia="es-AR"/>
                </w:rPr>
                <m:t>β</m:t>
              </m:r>
            </m:sup>
          </m:sSubSup>
          <m:r>
            <m:rPr>
              <m:sty m:val="bi"/>
            </m:rPr>
            <w:rPr>
              <w:rFonts w:ascii="Cambria Math" w:eastAsiaTheme="minorEastAsia" w:hAnsi="Cambria Math" w:cs="Arial"/>
              <w:sz w:val="28"/>
              <w:szCs w:val="28"/>
              <w:lang w:eastAsia="es-AR"/>
            </w:rPr>
            <m:t xml:space="preserve"> .  </m:t>
          </m:r>
          <m:sSubSup>
            <m:sSubSupPr>
              <m:ctrlPr>
                <w:rPr>
                  <w:rFonts w:ascii="Cambria Math" w:eastAsiaTheme="minorEastAsia" w:hAnsi="Cambria Math" w:cs="Arial"/>
                  <w:b/>
                  <w:i/>
                  <w:sz w:val="28"/>
                  <w:szCs w:val="28"/>
                  <w:lang w:eastAsia="es-AR"/>
                </w:rPr>
              </m:ctrlPr>
            </m:sSubSupPr>
            <m:e>
              <m:r>
                <m:rPr>
                  <m:sty m:val="bi"/>
                </m:rPr>
                <w:rPr>
                  <w:rFonts w:ascii="Cambria Math" w:eastAsiaTheme="minorEastAsia" w:hAnsi="Cambria Math" w:cs="Arial"/>
                  <w:sz w:val="28"/>
                  <w:szCs w:val="28"/>
                  <w:lang w:eastAsia="es-AR"/>
                </w:rPr>
                <m:t>EMAE</m:t>
              </m:r>
            </m:e>
            <m:sub>
              <m:r>
                <m:rPr>
                  <m:sty m:val="bi"/>
                </m:rPr>
                <w:rPr>
                  <w:rFonts w:ascii="Cambria Math" w:eastAsiaTheme="minorEastAsia" w:hAnsi="Cambria Math" w:cs="Arial"/>
                  <w:sz w:val="28"/>
                  <w:szCs w:val="28"/>
                  <w:lang w:eastAsia="es-AR"/>
                </w:rPr>
                <m:t>t</m:t>
              </m:r>
            </m:sub>
            <m:sup>
              <m:r>
                <m:rPr>
                  <m:sty m:val="bi"/>
                </m:rPr>
                <w:rPr>
                  <w:rFonts w:ascii="Cambria Math" w:eastAsiaTheme="minorEastAsia" w:hAnsi="Cambria Math" w:cs="Arial"/>
                  <w:sz w:val="28"/>
                  <w:szCs w:val="28"/>
                  <w:lang w:eastAsia="es-AR"/>
                </w:rPr>
                <m:t>θ</m:t>
              </m:r>
            </m:sup>
          </m:sSubSup>
          <m:r>
            <m:rPr>
              <m:sty m:val="bi"/>
            </m:rPr>
            <w:rPr>
              <w:rFonts w:ascii="Cambria Math" w:eastAsiaTheme="minorEastAsia" w:hAnsi="Cambria Math" w:cs="Arial"/>
              <w:sz w:val="28"/>
              <w:szCs w:val="28"/>
              <w:lang w:eastAsia="es-AR"/>
            </w:rPr>
            <m:t xml:space="preserve"> . </m:t>
          </m:r>
          <m:sSub>
            <m:sSubPr>
              <m:ctrlPr>
                <w:rPr>
                  <w:rFonts w:ascii="Cambria Math" w:eastAsiaTheme="minorEastAsia" w:hAnsi="Cambria Math" w:cs="Arial"/>
                  <w:b/>
                  <w:i/>
                  <w:sz w:val="28"/>
                  <w:szCs w:val="28"/>
                  <w:lang w:eastAsia="es-AR"/>
                </w:rPr>
              </m:ctrlPr>
            </m:sSubPr>
            <m:e>
              <m:r>
                <m:rPr>
                  <m:sty m:val="bi"/>
                </m:rPr>
                <w:rPr>
                  <w:rFonts w:ascii="Cambria Math" w:hAnsi="Cambria Math" w:cs="Arial"/>
                  <w:sz w:val="28"/>
                  <w:szCs w:val="28"/>
                </w:rPr>
                <m:t>e</m:t>
              </m:r>
            </m:e>
            <m:sub>
              <m:r>
                <m:rPr>
                  <m:sty m:val="bi"/>
                </m:rPr>
                <w:rPr>
                  <w:rFonts w:ascii="Cambria Math" w:eastAsiaTheme="minorEastAsia" w:hAnsi="Cambria Math" w:cs="Arial"/>
                  <w:sz w:val="28"/>
                  <w:szCs w:val="28"/>
                  <w:lang w:eastAsia="es-AR"/>
                </w:rPr>
                <m:t>t</m:t>
              </m:r>
            </m:sub>
          </m:sSub>
        </m:oMath>
      </m:oMathPara>
    </w:p>
    <w:p w:rsidR="00360F7B" w:rsidRPr="00B42455" w:rsidRDefault="00360F7B" w:rsidP="005F1E1C">
      <w:pPr>
        <w:spacing w:after="0"/>
        <w:jc w:val="both"/>
        <w:rPr>
          <w:rFonts w:cs="Arial"/>
          <w:i/>
          <w:sz w:val="24"/>
          <w:szCs w:val="24"/>
          <w:lang w:eastAsia="es-AR"/>
        </w:rPr>
      </w:pPr>
      <w:r w:rsidRPr="00B42455">
        <w:rPr>
          <w:rFonts w:cs="Arial"/>
          <w:i/>
          <w:sz w:val="24"/>
          <w:szCs w:val="24"/>
          <w:lang w:eastAsia="es-AR"/>
        </w:rPr>
        <w:t>Donde:</w:t>
      </w:r>
    </w:p>
    <w:p w:rsidR="00360F7B" w:rsidRPr="00B42455" w:rsidRDefault="00AB0E14" w:rsidP="005F1E1C">
      <w:pPr>
        <w:spacing w:after="0"/>
        <w:jc w:val="both"/>
        <w:rPr>
          <w:rFonts w:eastAsiaTheme="minorEastAsia" w:cs="Arial"/>
          <w:sz w:val="24"/>
          <w:szCs w:val="24"/>
          <w:lang w:eastAsia="es-AR"/>
        </w:rPr>
      </w:pPr>
      <m:oMath>
        <m:sSub>
          <m:sSubPr>
            <m:ctrlPr>
              <w:rPr>
                <w:rFonts w:ascii="Cambria Math" w:eastAsiaTheme="minorEastAsia" w:hAnsi="Cambria Math" w:cs="Arial"/>
                <w:i/>
                <w:sz w:val="24"/>
                <w:szCs w:val="24"/>
                <w:lang w:eastAsia="es-AR"/>
              </w:rPr>
            </m:ctrlPr>
          </m:sSubPr>
          <m:e>
            <m:r>
              <w:rPr>
                <w:rFonts w:ascii="Cambria Math" w:eastAsiaTheme="minorEastAsia" w:hAnsi="Cambria Math" w:cs="Arial"/>
                <w:sz w:val="24"/>
                <w:szCs w:val="24"/>
                <w:lang w:eastAsia="es-AR"/>
              </w:rPr>
              <m:t>AFM</m:t>
            </m:r>
          </m:e>
          <m:sub>
            <m:r>
              <w:rPr>
                <w:rFonts w:ascii="Cambria Math" w:eastAsiaTheme="minorEastAsia" w:hAnsi="Cambria Math" w:cs="Arial"/>
                <w:sz w:val="24"/>
                <w:szCs w:val="24"/>
                <w:lang w:eastAsia="es-AR"/>
              </w:rPr>
              <m:t>t</m:t>
            </m:r>
          </m:sub>
        </m:sSub>
      </m:oMath>
      <w:r w:rsidR="00360F7B" w:rsidRPr="00B42455">
        <w:rPr>
          <w:rFonts w:eastAsiaTheme="minorEastAsia" w:cs="Arial"/>
          <w:sz w:val="24"/>
          <w:szCs w:val="24"/>
          <w:lang w:eastAsia="es-AR"/>
        </w:rPr>
        <w:t xml:space="preserve"> = </w:t>
      </w:r>
      <w:r w:rsidR="00460ED8" w:rsidRPr="00B42455">
        <w:rPr>
          <w:rFonts w:eastAsiaTheme="minorEastAsia" w:cs="Arial"/>
          <w:sz w:val="24"/>
          <w:szCs w:val="24"/>
          <w:lang w:eastAsia="es-AR"/>
        </w:rPr>
        <w:t xml:space="preserve">Actividad fluvial y marítima (Total de cargas y descargas </w:t>
      </w:r>
      <w:r w:rsidR="00360F7B" w:rsidRPr="00B42455">
        <w:rPr>
          <w:rFonts w:eastAsiaTheme="minorEastAsia" w:cs="Arial"/>
          <w:sz w:val="24"/>
          <w:szCs w:val="24"/>
          <w:lang w:eastAsia="es-AR"/>
        </w:rPr>
        <w:t>en toneladas)</w:t>
      </w:r>
    </w:p>
    <w:p w:rsidR="00360F7B" w:rsidRPr="00B42455" w:rsidRDefault="00360F7B" w:rsidP="005F1E1C">
      <w:pPr>
        <w:spacing w:after="0"/>
        <w:jc w:val="both"/>
        <w:rPr>
          <w:rFonts w:cs="Arial"/>
          <w:sz w:val="24"/>
          <w:szCs w:val="24"/>
          <w:lang w:eastAsia="es-AR"/>
        </w:rPr>
      </w:pPr>
      <w:r w:rsidRPr="00B42455">
        <w:rPr>
          <w:rFonts w:cs="Arial"/>
          <w:i/>
          <w:sz w:val="24"/>
          <w:szCs w:val="24"/>
          <w:lang w:eastAsia="es-AR"/>
        </w:rPr>
        <w:lastRenderedPageBreak/>
        <w:t>TCN</w:t>
      </w:r>
      <w:r w:rsidRPr="00B42455">
        <w:rPr>
          <w:rFonts w:cs="Arial"/>
          <w:i/>
          <w:sz w:val="24"/>
          <w:szCs w:val="24"/>
          <w:vertAlign w:val="subscript"/>
          <w:lang w:eastAsia="es-AR"/>
        </w:rPr>
        <w:t>t</w:t>
      </w:r>
      <w:r w:rsidRPr="00B42455">
        <w:rPr>
          <w:rFonts w:cs="Arial"/>
          <w:sz w:val="24"/>
          <w:szCs w:val="24"/>
          <w:lang w:eastAsia="es-AR"/>
        </w:rPr>
        <w:t xml:space="preserve"> = Tipo de cambio nominal</w:t>
      </w:r>
    </w:p>
    <w:p w:rsidR="00360F7B" w:rsidRPr="00B42455" w:rsidRDefault="00360F7B" w:rsidP="005F1E1C">
      <w:pPr>
        <w:spacing w:after="0"/>
        <w:jc w:val="both"/>
        <w:rPr>
          <w:rFonts w:cs="Arial"/>
          <w:sz w:val="24"/>
          <w:szCs w:val="24"/>
          <w:lang w:eastAsia="es-AR"/>
        </w:rPr>
      </w:pPr>
      <w:r w:rsidRPr="00B42455">
        <w:rPr>
          <w:rFonts w:cs="Arial"/>
          <w:i/>
          <w:sz w:val="24"/>
          <w:szCs w:val="24"/>
          <w:lang w:eastAsia="es-AR"/>
        </w:rPr>
        <w:t>EMAE</w:t>
      </w:r>
      <w:r w:rsidRPr="00B42455">
        <w:rPr>
          <w:rFonts w:cs="Arial"/>
          <w:i/>
          <w:sz w:val="24"/>
          <w:szCs w:val="24"/>
          <w:vertAlign w:val="subscript"/>
          <w:lang w:eastAsia="es-AR"/>
        </w:rPr>
        <w:t>t</w:t>
      </w:r>
      <w:r w:rsidRPr="00B42455">
        <w:rPr>
          <w:rFonts w:cs="Arial"/>
          <w:i/>
          <w:sz w:val="24"/>
          <w:szCs w:val="24"/>
          <w:lang w:eastAsia="es-AR"/>
        </w:rPr>
        <w:t xml:space="preserve"> </w:t>
      </w:r>
      <w:r w:rsidRPr="00B42455">
        <w:rPr>
          <w:rFonts w:cs="Arial"/>
          <w:sz w:val="24"/>
          <w:szCs w:val="24"/>
          <w:lang w:eastAsia="es-AR"/>
        </w:rPr>
        <w:t>= Estimador mensual de la actividad económica</w:t>
      </w:r>
    </w:p>
    <w:p w:rsidR="00360F7B" w:rsidRPr="00B42455" w:rsidRDefault="00360F7B" w:rsidP="005F1E1C">
      <w:pPr>
        <w:spacing w:after="0"/>
        <w:jc w:val="both"/>
        <w:rPr>
          <w:rFonts w:cs="Arial"/>
          <w:sz w:val="24"/>
          <w:szCs w:val="24"/>
          <w:lang w:eastAsia="es-AR"/>
        </w:rPr>
      </w:pPr>
      <w:r w:rsidRPr="00B42455">
        <w:rPr>
          <w:rFonts w:cs="Arial"/>
          <w:sz w:val="24"/>
          <w:szCs w:val="24"/>
          <w:lang w:eastAsia="es-AR"/>
        </w:rPr>
        <w:t>α = coeficiente, número real</w:t>
      </w:r>
    </w:p>
    <w:p w:rsidR="00360F7B" w:rsidRPr="00B42455" w:rsidRDefault="00360F7B" w:rsidP="005F1E1C">
      <w:pPr>
        <w:spacing w:after="0"/>
        <w:jc w:val="both"/>
        <w:rPr>
          <w:rFonts w:cs="Arial"/>
          <w:sz w:val="24"/>
          <w:szCs w:val="24"/>
          <w:lang w:eastAsia="es-AR"/>
        </w:rPr>
      </w:pPr>
      <w:r w:rsidRPr="00B42455">
        <w:rPr>
          <w:rFonts w:cs="Arial"/>
          <w:sz w:val="24"/>
          <w:szCs w:val="24"/>
          <w:lang w:eastAsia="es-AR"/>
        </w:rPr>
        <w:t xml:space="preserve">β = Elasticidad </w:t>
      </w:r>
      <w:r w:rsidR="00460ED8" w:rsidRPr="00B42455">
        <w:rPr>
          <w:rFonts w:cs="Arial"/>
          <w:sz w:val="24"/>
          <w:szCs w:val="24"/>
          <w:lang w:eastAsia="es-AR"/>
        </w:rPr>
        <w:t>de la</w:t>
      </w:r>
      <w:r w:rsidRPr="00B42455">
        <w:rPr>
          <w:rFonts w:cs="Arial"/>
          <w:sz w:val="24"/>
          <w:szCs w:val="24"/>
          <w:lang w:eastAsia="es-AR"/>
        </w:rPr>
        <w:t xml:space="preserve"> </w:t>
      </w:r>
      <w:r w:rsidR="00460ED8" w:rsidRPr="00B42455">
        <w:rPr>
          <w:rFonts w:cs="Arial"/>
          <w:sz w:val="24"/>
          <w:szCs w:val="24"/>
          <w:lang w:eastAsia="es-AR"/>
        </w:rPr>
        <w:t>AFM</w:t>
      </w:r>
      <w:r w:rsidRPr="00B42455">
        <w:rPr>
          <w:rFonts w:cs="Arial"/>
          <w:sz w:val="24"/>
          <w:szCs w:val="24"/>
          <w:lang w:eastAsia="es-AR"/>
        </w:rPr>
        <w:t xml:space="preserve"> respecto del tipo de cambio nominal</w:t>
      </w:r>
    </w:p>
    <w:p w:rsidR="00360F7B" w:rsidRPr="00B42455" w:rsidRDefault="00360F7B" w:rsidP="005F1E1C">
      <w:pPr>
        <w:spacing w:after="0"/>
        <w:jc w:val="both"/>
        <w:rPr>
          <w:rFonts w:cs="Arial"/>
          <w:sz w:val="24"/>
          <w:szCs w:val="24"/>
          <w:lang w:eastAsia="es-AR"/>
        </w:rPr>
      </w:pPr>
      <w:r w:rsidRPr="00B42455">
        <w:rPr>
          <w:rFonts w:cs="Arial"/>
          <w:sz w:val="24"/>
          <w:szCs w:val="24"/>
          <w:lang w:eastAsia="es-AR"/>
        </w:rPr>
        <w:t xml:space="preserve">θ = Elasticidad </w:t>
      </w:r>
      <w:r w:rsidR="00460ED8" w:rsidRPr="00B42455">
        <w:rPr>
          <w:rFonts w:cs="Arial"/>
          <w:sz w:val="24"/>
          <w:szCs w:val="24"/>
          <w:lang w:eastAsia="es-AR"/>
        </w:rPr>
        <w:t>de la AFM</w:t>
      </w:r>
      <w:r w:rsidRPr="00B42455">
        <w:rPr>
          <w:rFonts w:cs="Arial"/>
          <w:sz w:val="24"/>
          <w:szCs w:val="24"/>
          <w:lang w:eastAsia="es-AR"/>
        </w:rPr>
        <w:t xml:space="preserve"> respecto del EMAE.</w:t>
      </w:r>
    </w:p>
    <w:p w:rsidR="00360F7B" w:rsidRPr="00B42455" w:rsidRDefault="00360F7B" w:rsidP="005F1E1C">
      <w:pPr>
        <w:spacing w:after="0"/>
        <w:jc w:val="both"/>
        <w:rPr>
          <w:rFonts w:cs="Arial"/>
          <w:sz w:val="24"/>
          <w:szCs w:val="24"/>
          <w:lang w:eastAsia="es-AR"/>
        </w:rPr>
      </w:pPr>
      <w:r w:rsidRPr="00B42455">
        <w:rPr>
          <w:rFonts w:cs="Arial"/>
          <w:sz w:val="24"/>
          <w:szCs w:val="24"/>
          <w:lang w:eastAsia="es-AR"/>
        </w:rPr>
        <w:t>e</w:t>
      </w:r>
      <w:r w:rsidRPr="00B42455">
        <w:rPr>
          <w:rFonts w:cs="Arial"/>
          <w:sz w:val="24"/>
          <w:szCs w:val="24"/>
          <w:vertAlign w:val="subscript"/>
          <w:lang w:eastAsia="es-AR"/>
        </w:rPr>
        <w:t>t</w:t>
      </w:r>
      <w:r w:rsidRPr="00B42455">
        <w:rPr>
          <w:rFonts w:cs="Arial"/>
          <w:sz w:val="24"/>
          <w:szCs w:val="24"/>
          <w:lang w:eastAsia="es-AR"/>
        </w:rPr>
        <w:t xml:space="preserve"> = Variable aleatoria pura o ruido blanco</w:t>
      </w:r>
    </w:p>
    <w:p w:rsidR="00360F7B" w:rsidRPr="00B42455" w:rsidRDefault="00360F7B" w:rsidP="005F1E1C">
      <w:pPr>
        <w:spacing w:after="0"/>
        <w:jc w:val="both"/>
        <w:rPr>
          <w:rFonts w:cs="Arial"/>
          <w:sz w:val="24"/>
          <w:szCs w:val="24"/>
          <w:lang w:eastAsia="es-AR"/>
        </w:rPr>
      </w:pPr>
    </w:p>
    <w:p w:rsidR="00360F7B" w:rsidRPr="00B42455" w:rsidRDefault="00360F7B" w:rsidP="0019244A">
      <w:pPr>
        <w:jc w:val="both"/>
        <w:rPr>
          <w:rFonts w:cs="Arial"/>
          <w:sz w:val="24"/>
          <w:szCs w:val="24"/>
          <w:lang w:eastAsia="es-AR"/>
        </w:rPr>
      </w:pPr>
      <w:r w:rsidRPr="00B42455">
        <w:rPr>
          <w:sz w:val="24"/>
          <w:szCs w:val="24"/>
        </w:rPr>
        <w:t>A partir de la transformación logarítmica, se obtiene un modelo econométrico cuya forma funcional es lineal y permite la aplicación del Método de Mínimos Cuadrados Ordinarios para la estimación. El modelo que se obtiene es el siguiente:</w:t>
      </w:r>
    </w:p>
    <w:p w:rsidR="00360F7B" w:rsidRPr="0019244A" w:rsidRDefault="00AB0E14" w:rsidP="005F1E1C">
      <w:pPr>
        <w:spacing w:after="0"/>
        <w:jc w:val="center"/>
        <w:rPr>
          <w:rFonts w:cs="Arial"/>
          <w:sz w:val="28"/>
          <w:szCs w:val="28"/>
          <w:lang w:eastAsia="es-AR"/>
        </w:rPr>
      </w:pPr>
      <m:oMathPara>
        <m:oMath>
          <m:sSub>
            <m:sSubPr>
              <m:ctrlPr>
                <w:rPr>
                  <w:rFonts w:ascii="Cambria Math" w:eastAsiaTheme="minorEastAsia" w:hAnsi="Cambria Math" w:cs="Arial"/>
                  <w:i/>
                  <w:sz w:val="28"/>
                  <w:szCs w:val="28"/>
                  <w:lang w:eastAsia="es-AR"/>
                </w:rPr>
              </m:ctrlPr>
            </m:sSubPr>
            <m:e>
              <m:r>
                <w:rPr>
                  <w:rFonts w:ascii="Cambria Math" w:eastAsiaTheme="minorEastAsia" w:hAnsi="Cambria Math" w:cs="Arial"/>
                  <w:sz w:val="28"/>
                  <w:szCs w:val="28"/>
                  <w:lang w:eastAsia="es-AR"/>
                </w:rPr>
                <m:t>Ln(AFM</m:t>
              </m:r>
            </m:e>
            <m:sub>
              <m:r>
                <w:rPr>
                  <w:rFonts w:ascii="Cambria Math" w:eastAsiaTheme="minorEastAsia" w:hAnsi="Cambria Math" w:cs="Arial"/>
                  <w:sz w:val="28"/>
                  <w:szCs w:val="28"/>
                  <w:lang w:eastAsia="es-AR"/>
                </w:rPr>
                <m:t>t</m:t>
              </m:r>
            </m:sub>
          </m:sSub>
          <m:r>
            <w:rPr>
              <w:rFonts w:ascii="Cambria Math" w:eastAsiaTheme="minorEastAsia" w:hAnsi="Cambria Math" w:cs="Arial"/>
              <w:sz w:val="28"/>
              <w:szCs w:val="28"/>
              <w:lang w:eastAsia="es-AR"/>
            </w:rPr>
            <m:t>)= Ln</m:t>
          </m:r>
          <m:d>
            <m:dPr>
              <m:ctrlPr>
                <w:rPr>
                  <w:rFonts w:ascii="Cambria Math" w:eastAsiaTheme="minorEastAsia" w:hAnsi="Cambria Math" w:cs="Arial"/>
                  <w:i/>
                  <w:sz w:val="28"/>
                  <w:szCs w:val="28"/>
                  <w:lang w:eastAsia="es-AR"/>
                </w:rPr>
              </m:ctrlPr>
            </m:dPr>
            <m:e>
              <m:r>
                <w:rPr>
                  <w:rFonts w:ascii="Cambria Math" w:eastAsiaTheme="minorEastAsia" w:hAnsi="Cambria Math" w:cs="Arial"/>
                  <w:sz w:val="28"/>
                  <w:szCs w:val="28"/>
                  <w:lang w:eastAsia="es-AR"/>
                </w:rPr>
                <m:t>α</m:t>
              </m:r>
            </m:e>
          </m:d>
          <m:r>
            <w:rPr>
              <w:rFonts w:ascii="Cambria Math" w:eastAsiaTheme="minorEastAsia" w:hAnsi="Cambria Math" w:cs="Arial"/>
              <w:sz w:val="28"/>
              <w:szCs w:val="28"/>
              <w:lang w:eastAsia="es-AR"/>
            </w:rPr>
            <m:t>+β . Ln</m:t>
          </m:r>
          <m:d>
            <m:dPr>
              <m:ctrlPr>
                <w:rPr>
                  <w:rFonts w:ascii="Cambria Math" w:eastAsiaTheme="minorEastAsia" w:hAnsi="Cambria Math" w:cs="Arial"/>
                  <w:i/>
                  <w:sz w:val="28"/>
                  <w:szCs w:val="28"/>
                  <w:lang w:eastAsia="es-AR"/>
                </w:rPr>
              </m:ctrlPr>
            </m:dPr>
            <m:e>
              <m:sSubSup>
                <m:sSubSupPr>
                  <m:ctrlPr>
                    <w:rPr>
                      <w:rFonts w:ascii="Cambria Math" w:eastAsiaTheme="minorEastAsia" w:hAnsi="Cambria Math" w:cs="Arial"/>
                      <w:i/>
                      <w:sz w:val="28"/>
                      <w:szCs w:val="28"/>
                      <w:lang w:eastAsia="es-AR"/>
                    </w:rPr>
                  </m:ctrlPr>
                </m:sSubSupPr>
                <m:e>
                  <m:r>
                    <w:rPr>
                      <w:rFonts w:ascii="Cambria Math" w:eastAsiaTheme="minorEastAsia" w:hAnsi="Cambria Math" w:cs="Arial"/>
                      <w:sz w:val="28"/>
                      <w:szCs w:val="28"/>
                      <w:lang w:eastAsia="es-AR"/>
                    </w:rPr>
                    <m:t>TCN</m:t>
                  </m:r>
                </m:e>
                <m:sub>
                  <m:r>
                    <w:rPr>
                      <w:rFonts w:ascii="Cambria Math" w:eastAsiaTheme="minorEastAsia" w:hAnsi="Cambria Math" w:cs="Arial"/>
                      <w:sz w:val="28"/>
                      <w:szCs w:val="28"/>
                      <w:lang w:eastAsia="es-AR"/>
                    </w:rPr>
                    <m:t>t</m:t>
                  </m:r>
                </m:sub>
                <m:sup/>
              </m:sSubSup>
            </m:e>
          </m:d>
          <m:r>
            <w:rPr>
              <w:rFonts w:ascii="Cambria Math" w:eastAsiaTheme="minorEastAsia" w:hAnsi="Cambria Math" w:cs="Arial"/>
              <w:sz w:val="28"/>
              <w:szCs w:val="28"/>
              <w:lang w:eastAsia="es-AR"/>
            </w:rPr>
            <m:t xml:space="preserve"> + θ . Ln</m:t>
          </m:r>
          <m:d>
            <m:dPr>
              <m:ctrlPr>
                <w:rPr>
                  <w:rFonts w:ascii="Cambria Math" w:eastAsiaTheme="minorEastAsia" w:hAnsi="Cambria Math" w:cs="Arial"/>
                  <w:i/>
                  <w:sz w:val="28"/>
                  <w:szCs w:val="28"/>
                  <w:lang w:eastAsia="es-AR"/>
                </w:rPr>
              </m:ctrlPr>
            </m:dPr>
            <m:e>
              <m:sSubSup>
                <m:sSubSupPr>
                  <m:ctrlPr>
                    <w:rPr>
                      <w:rFonts w:ascii="Cambria Math" w:eastAsiaTheme="minorEastAsia" w:hAnsi="Cambria Math" w:cs="Arial"/>
                      <w:i/>
                      <w:sz w:val="28"/>
                      <w:szCs w:val="28"/>
                      <w:lang w:eastAsia="es-AR"/>
                    </w:rPr>
                  </m:ctrlPr>
                </m:sSubSupPr>
                <m:e>
                  <m:r>
                    <w:rPr>
                      <w:rFonts w:ascii="Cambria Math" w:eastAsiaTheme="minorEastAsia" w:hAnsi="Cambria Math" w:cs="Arial"/>
                      <w:sz w:val="28"/>
                      <w:szCs w:val="28"/>
                      <w:lang w:eastAsia="es-AR"/>
                    </w:rPr>
                    <m:t>EMAE</m:t>
                  </m:r>
                </m:e>
                <m:sub>
                  <m:r>
                    <w:rPr>
                      <w:rFonts w:ascii="Cambria Math" w:eastAsiaTheme="minorEastAsia" w:hAnsi="Cambria Math" w:cs="Arial"/>
                      <w:sz w:val="28"/>
                      <w:szCs w:val="28"/>
                      <w:lang w:eastAsia="es-AR"/>
                    </w:rPr>
                    <m:t>t</m:t>
                  </m:r>
                </m:sub>
                <m:sup/>
              </m:sSubSup>
            </m:e>
          </m:d>
          <m:r>
            <w:rPr>
              <w:rFonts w:ascii="Cambria Math" w:eastAsiaTheme="minorEastAsia" w:hAnsi="Cambria Math" w:cs="Arial"/>
              <w:sz w:val="28"/>
              <w:szCs w:val="28"/>
              <w:lang w:eastAsia="es-AR"/>
            </w:rPr>
            <m:t xml:space="preserve"> + </m:t>
          </m:r>
          <m:sSub>
            <m:sSubPr>
              <m:ctrlPr>
                <w:rPr>
                  <w:rFonts w:ascii="Cambria Math" w:eastAsiaTheme="minorEastAsia" w:hAnsi="Cambria Math" w:cs="Arial"/>
                  <w:i/>
                  <w:sz w:val="28"/>
                  <w:szCs w:val="28"/>
                  <w:lang w:eastAsia="es-AR"/>
                </w:rPr>
              </m:ctrlPr>
            </m:sSubPr>
            <m:e>
              <m:r>
                <w:rPr>
                  <w:rFonts w:ascii="Cambria Math" w:eastAsiaTheme="minorEastAsia" w:hAnsi="Cambria Math" w:cs="Arial"/>
                  <w:sz w:val="28"/>
                  <w:szCs w:val="28"/>
                  <w:lang w:eastAsia="es-AR"/>
                </w:rPr>
                <m:t>u</m:t>
              </m:r>
            </m:e>
            <m:sub>
              <m:r>
                <w:rPr>
                  <w:rFonts w:ascii="Cambria Math" w:eastAsiaTheme="minorEastAsia" w:hAnsi="Cambria Math" w:cs="Arial"/>
                  <w:sz w:val="28"/>
                  <w:szCs w:val="28"/>
                  <w:lang w:eastAsia="es-AR"/>
                </w:rPr>
                <m:t>t</m:t>
              </m:r>
            </m:sub>
          </m:sSub>
        </m:oMath>
      </m:oMathPara>
    </w:p>
    <w:p w:rsidR="006C2C94" w:rsidRPr="00B42455" w:rsidRDefault="006C2C94" w:rsidP="005F1E1C">
      <w:pPr>
        <w:spacing w:after="0"/>
        <w:rPr>
          <w:rFonts w:eastAsiaTheme="minorEastAsia" w:cs="Arial"/>
          <w:sz w:val="24"/>
          <w:szCs w:val="24"/>
          <w:lang w:eastAsia="es-AR"/>
        </w:rPr>
      </w:pPr>
    </w:p>
    <w:p w:rsidR="00360F7B" w:rsidRPr="00B42455" w:rsidRDefault="00360F7B" w:rsidP="005F1E1C">
      <w:pPr>
        <w:spacing w:after="0"/>
        <w:rPr>
          <w:rFonts w:eastAsiaTheme="minorEastAsia" w:cs="Arial"/>
          <w:sz w:val="24"/>
          <w:szCs w:val="24"/>
          <w:lang w:eastAsia="es-AR"/>
        </w:rPr>
      </w:pPr>
      <w:r w:rsidRPr="00B42455">
        <w:rPr>
          <w:rFonts w:eastAsiaTheme="minorEastAsia" w:cs="Arial"/>
          <w:sz w:val="24"/>
          <w:szCs w:val="24"/>
          <w:lang w:eastAsia="es-AR"/>
        </w:rPr>
        <w:t xml:space="preserve">Donde </w:t>
      </w:r>
      <m:oMath>
        <m:sSub>
          <m:sSubPr>
            <m:ctrlPr>
              <w:rPr>
                <w:rFonts w:ascii="Cambria Math" w:eastAsiaTheme="minorEastAsia" w:hAnsi="Cambria Math" w:cs="Arial"/>
                <w:i/>
                <w:sz w:val="24"/>
                <w:szCs w:val="24"/>
                <w:lang w:eastAsia="es-AR"/>
              </w:rPr>
            </m:ctrlPr>
          </m:sSubPr>
          <m:e>
            <m:r>
              <w:rPr>
                <w:rFonts w:ascii="Cambria Math" w:eastAsiaTheme="minorEastAsia" w:hAnsi="Cambria Math" w:cs="Arial"/>
                <w:sz w:val="24"/>
                <w:szCs w:val="24"/>
                <w:lang w:eastAsia="es-AR"/>
              </w:rPr>
              <m:t>u</m:t>
            </m:r>
          </m:e>
          <m:sub>
            <m:r>
              <w:rPr>
                <w:rFonts w:ascii="Cambria Math" w:eastAsiaTheme="minorEastAsia" w:hAnsi="Cambria Math" w:cs="Arial"/>
                <w:sz w:val="24"/>
                <w:szCs w:val="24"/>
                <w:lang w:eastAsia="es-AR"/>
              </w:rPr>
              <m:t>t</m:t>
            </m:r>
          </m:sub>
        </m:sSub>
      </m:oMath>
      <w:r w:rsidRPr="00B42455">
        <w:rPr>
          <w:rFonts w:eastAsiaTheme="minorEastAsia" w:cs="Arial"/>
          <w:sz w:val="24"/>
          <w:szCs w:val="24"/>
          <w:lang w:eastAsia="es-AR"/>
        </w:rPr>
        <w:t xml:space="preserve"> = ln </w:t>
      </w:r>
      <m:oMath>
        <m:r>
          <w:rPr>
            <w:rFonts w:ascii="Cambria Math" w:eastAsiaTheme="minorEastAsia" w:hAnsi="Cambria Math" w:cs="Arial"/>
            <w:sz w:val="24"/>
            <w:szCs w:val="24"/>
            <w:lang w:eastAsia="es-AR"/>
          </w:rPr>
          <m:t>(</m:t>
        </m:r>
        <m:sSub>
          <m:sSubPr>
            <m:ctrlPr>
              <w:rPr>
                <w:rFonts w:ascii="Cambria Math" w:eastAsiaTheme="minorEastAsia" w:hAnsi="Cambria Math" w:cs="Arial"/>
                <w:i/>
                <w:sz w:val="24"/>
                <w:szCs w:val="24"/>
                <w:lang w:eastAsia="es-AR"/>
              </w:rPr>
            </m:ctrlPr>
          </m:sSubPr>
          <m:e>
            <m:r>
              <w:rPr>
                <w:rFonts w:ascii="Cambria Math" w:hAnsi="Cambria Math" w:cs="Arial"/>
                <w:sz w:val="24"/>
                <w:szCs w:val="24"/>
              </w:rPr>
              <m:t>e</m:t>
            </m:r>
          </m:e>
          <m:sub>
            <m:r>
              <w:rPr>
                <w:rFonts w:ascii="Cambria Math" w:eastAsiaTheme="minorEastAsia" w:hAnsi="Cambria Math" w:cs="Arial"/>
                <w:sz w:val="24"/>
                <w:szCs w:val="24"/>
                <w:lang w:eastAsia="es-AR"/>
              </w:rPr>
              <m:t>t</m:t>
            </m:r>
          </m:sub>
        </m:sSub>
        <m:r>
          <w:rPr>
            <w:rFonts w:ascii="Cambria Math" w:eastAsiaTheme="minorEastAsia" w:hAnsi="Cambria Math" w:cs="Arial"/>
            <w:sz w:val="24"/>
            <w:szCs w:val="24"/>
            <w:lang w:eastAsia="es-AR"/>
          </w:rPr>
          <m:t>)</m:t>
        </m:r>
      </m:oMath>
      <w:r w:rsidRPr="00B42455">
        <w:rPr>
          <w:rFonts w:eastAsiaTheme="minorEastAsia" w:cs="Arial"/>
          <w:sz w:val="24"/>
          <w:szCs w:val="24"/>
          <w:lang w:eastAsia="es-AR"/>
        </w:rPr>
        <w:t xml:space="preserve"> sigue una distribución lognormal.</w:t>
      </w:r>
      <w:r w:rsidRPr="00B42455">
        <w:rPr>
          <w:rStyle w:val="Refdenotaalpie"/>
          <w:rFonts w:eastAsiaTheme="minorEastAsia" w:cs="Arial"/>
          <w:sz w:val="24"/>
          <w:szCs w:val="24"/>
          <w:lang w:eastAsia="es-AR"/>
        </w:rPr>
        <w:footnoteReference w:id="4"/>
      </w:r>
    </w:p>
    <w:p w:rsidR="00360F7B" w:rsidRPr="00B42455" w:rsidRDefault="00360F7B" w:rsidP="005F1E1C">
      <w:pPr>
        <w:spacing w:after="0"/>
        <w:rPr>
          <w:rFonts w:eastAsiaTheme="minorEastAsia" w:cs="Arial"/>
          <w:sz w:val="24"/>
          <w:szCs w:val="24"/>
          <w:lang w:eastAsia="es-AR"/>
        </w:rPr>
      </w:pPr>
    </w:p>
    <w:p w:rsidR="00360F7B" w:rsidRPr="00B42455" w:rsidRDefault="00360F7B" w:rsidP="005F1E1C">
      <w:pPr>
        <w:spacing w:after="0"/>
        <w:rPr>
          <w:rFonts w:eastAsiaTheme="minorEastAsia" w:cs="Arial"/>
          <w:sz w:val="24"/>
          <w:szCs w:val="24"/>
          <w:lang w:eastAsia="es-AR"/>
        </w:rPr>
      </w:pPr>
      <w:r w:rsidRPr="00B42455">
        <w:rPr>
          <w:rFonts w:eastAsiaTheme="minorEastAsia" w:cs="Arial"/>
          <w:sz w:val="24"/>
          <w:szCs w:val="24"/>
          <w:lang w:eastAsia="es-AR"/>
        </w:rPr>
        <w:t>Luego, por simplicidad, se renombran las variables de la siguiente forma:</w:t>
      </w:r>
    </w:p>
    <w:p w:rsidR="00360F7B" w:rsidRPr="00B42455" w:rsidRDefault="00360F7B" w:rsidP="005F1E1C">
      <w:pPr>
        <w:spacing w:after="0"/>
        <w:rPr>
          <w:rFonts w:eastAsiaTheme="minorEastAsia" w:cs="Arial"/>
          <w:sz w:val="24"/>
          <w:szCs w:val="24"/>
          <w:lang w:eastAsia="es-AR"/>
        </w:rPr>
      </w:pPr>
    </w:p>
    <w:p w:rsidR="00360F7B" w:rsidRPr="0019244A" w:rsidRDefault="00AB0E14" w:rsidP="005F1E1C">
      <w:pPr>
        <w:spacing w:after="0"/>
        <w:jc w:val="center"/>
        <w:rPr>
          <w:rFonts w:eastAsiaTheme="minorEastAsia" w:cs="Arial"/>
          <w:b/>
          <w:sz w:val="24"/>
          <w:szCs w:val="24"/>
          <w:lang w:eastAsia="es-AR"/>
        </w:rPr>
      </w:pPr>
      <m:oMath>
        <m:sSup>
          <m:sSupPr>
            <m:ctrlPr>
              <w:rPr>
                <w:rFonts w:ascii="Cambria Math" w:eastAsiaTheme="minorEastAsia" w:hAnsi="Cambria Math" w:cs="Arial"/>
                <w:b/>
                <w:i/>
                <w:sz w:val="24"/>
                <w:szCs w:val="24"/>
                <w:lang w:eastAsia="es-AR"/>
              </w:rPr>
            </m:ctrlPr>
          </m:sSupPr>
          <m:e>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AFM</m:t>
                </m:r>
              </m:e>
              <m:sub>
                <m:r>
                  <m:rPr>
                    <m:sty m:val="bi"/>
                  </m:rPr>
                  <w:rPr>
                    <w:rFonts w:ascii="Cambria Math" w:eastAsiaTheme="minorEastAsia" w:hAnsi="Cambria Math" w:cs="Arial"/>
                    <w:sz w:val="24"/>
                    <w:szCs w:val="24"/>
                    <w:lang w:eastAsia="es-AR"/>
                  </w:rPr>
                  <m:t>t</m:t>
                </m:r>
              </m:sub>
            </m:sSub>
          </m:e>
          <m:sup>
            <m:r>
              <m:rPr>
                <m:sty m:val="bi"/>
              </m:rPr>
              <w:rPr>
                <w:rFonts w:ascii="Cambria Math" w:eastAsiaTheme="minorEastAsia" w:hAnsi="Cambria Math" w:cs="Arial"/>
                <w:sz w:val="24"/>
                <w:szCs w:val="24"/>
                <w:lang w:eastAsia="es-AR"/>
              </w:rPr>
              <m:t>*</m:t>
            </m:r>
          </m:sup>
        </m:sSup>
        <m:r>
          <m:rPr>
            <m:sty m:val="bi"/>
          </m:rPr>
          <w:rPr>
            <w:rFonts w:ascii="Cambria Math" w:eastAsiaTheme="minorEastAsia" w:hAnsi="Cambria Math" w:cs="Arial"/>
            <w:sz w:val="24"/>
            <w:szCs w:val="24"/>
            <w:lang w:eastAsia="es-AR"/>
          </w:rPr>
          <m:t xml:space="preserve">= </m:t>
        </m:r>
        <m:sSup>
          <m:sSupPr>
            <m:ctrlPr>
              <w:rPr>
                <w:rFonts w:ascii="Cambria Math" w:eastAsiaTheme="minorEastAsia" w:hAnsi="Cambria Math" w:cs="Arial"/>
                <w:b/>
                <w:i/>
                <w:sz w:val="24"/>
                <w:szCs w:val="24"/>
                <w:lang w:eastAsia="es-AR"/>
              </w:rPr>
            </m:ctrlPr>
          </m:sSupPr>
          <m:e>
            <m:r>
              <m:rPr>
                <m:sty m:val="bi"/>
              </m:rPr>
              <w:rPr>
                <w:rFonts w:ascii="Cambria Math" w:eastAsiaTheme="minorEastAsia" w:hAnsi="Cambria Math" w:cs="Arial"/>
                <w:sz w:val="24"/>
                <w:szCs w:val="24"/>
                <w:lang w:eastAsia="es-AR"/>
              </w:rPr>
              <m:t>α</m:t>
            </m:r>
          </m:e>
          <m:sup>
            <m:r>
              <m:rPr>
                <m:sty m:val="bi"/>
              </m:rPr>
              <w:rPr>
                <w:rFonts w:ascii="Cambria Math" w:eastAsiaTheme="minorEastAsia" w:hAnsi="Cambria Math" w:cs="Arial"/>
                <w:sz w:val="24"/>
                <w:szCs w:val="24"/>
                <w:lang w:eastAsia="es-AR"/>
              </w:rPr>
              <m:t>*</m:t>
            </m:r>
          </m:sup>
        </m:sSup>
        <m:r>
          <m:rPr>
            <m:sty m:val="bi"/>
          </m:rPr>
          <w:rPr>
            <w:rFonts w:ascii="Cambria Math" w:eastAsiaTheme="minorEastAsia" w:hAnsi="Cambria Math" w:cs="Arial"/>
            <w:sz w:val="24"/>
            <w:szCs w:val="24"/>
            <w:lang w:eastAsia="es-AR"/>
          </w:rPr>
          <m:t xml:space="preserve">+β . </m:t>
        </m:r>
        <m:sSubSup>
          <m:sSubSupPr>
            <m:ctrlPr>
              <w:rPr>
                <w:rFonts w:ascii="Cambria Math" w:eastAsiaTheme="minorEastAsia" w:hAnsi="Cambria Math" w:cs="Arial"/>
                <w:b/>
                <w:i/>
                <w:sz w:val="24"/>
                <w:szCs w:val="24"/>
                <w:lang w:eastAsia="es-AR"/>
              </w:rPr>
            </m:ctrlPr>
          </m:sSubSupPr>
          <m:e>
            <m:r>
              <m:rPr>
                <m:sty m:val="bi"/>
              </m:rPr>
              <w:rPr>
                <w:rFonts w:ascii="Cambria Math" w:eastAsiaTheme="minorEastAsia" w:hAnsi="Cambria Math" w:cs="Arial"/>
                <w:sz w:val="24"/>
                <w:szCs w:val="24"/>
                <w:lang w:eastAsia="es-AR"/>
              </w:rPr>
              <m:t>TCN</m:t>
            </m:r>
          </m:e>
          <m:sub>
            <m:r>
              <m:rPr>
                <m:sty m:val="bi"/>
              </m:rPr>
              <w:rPr>
                <w:rFonts w:ascii="Cambria Math" w:eastAsiaTheme="minorEastAsia" w:hAnsi="Cambria Math" w:cs="Arial"/>
                <w:sz w:val="24"/>
                <w:szCs w:val="24"/>
                <w:lang w:eastAsia="es-AR"/>
              </w:rPr>
              <m:t>t</m:t>
            </m:r>
          </m:sub>
          <m:sup>
            <m:r>
              <m:rPr>
                <m:sty m:val="bi"/>
              </m:rPr>
              <w:rPr>
                <w:rFonts w:ascii="Cambria Math" w:eastAsiaTheme="minorEastAsia" w:hAnsi="Cambria Math" w:cs="Arial"/>
                <w:sz w:val="24"/>
                <w:szCs w:val="24"/>
                <w:lang w:eastAsia="es-AR"/>
              </w:rPr>
              <m:t>*</m:t>
            </m:r>
          </m:sup>
        </m:sSubSup>
        <m:r>
          <m:rPr>
            <m:sty m:val="bi"/>
          </m:rPr>
          <w:rPr>
            <w:rFonts w:ascii="Cambria Math" w:eastAsiaTheme="minorEastAsia" w:hAnsi="Cambria Math" w:cs="Arial"/>
            <w:sz w:val="24"/>
            <w:szCs w:val="24"/>
            <w:lang w:eastAsia="es-AR"/>
          </w:rPr>
          <m:t xml:space="preserve"> + θ . </m:t>
        </m:r>
        <m:sSubSup>
          <m:sSubSupPr>
            <m:ctrlPr>
              <w:rPr>
                <w:rFonts w:ascii="Cambria Math" w:eastAsiaTheme="minorEastAsia" w:hAnsi="Cambria Math" w:cs="Arial"/>
                <w:b/>
                <w:i/>
                <w:sz w:val="24"/>
                <w:szCs w:val="24"/>
                <w:lang w:eastAsia="es-AR"/>
              </w:rPr>
            </m:ctrlPr>
          </m:sSubSupPr>
          <m:e>
            <m:r>
              <m:rPr>
                <m:sty m:val="bi"/>
              </m:rPr>
              <w:rPr>
                <w:rFonts w:ascii="Cambria Math" w:eastAsiaTheme="minorEastAsia" w:hAnsi="Cambria Math" w:cs="Arial"/>
                <w:sz w:val="24"/>
                <w:szCs w:val="24"/>
                <w:lang w:eastAsia="es-AR"/>
              </w:rPr>
              <m:t>EMAE</m:t>
            </m:r>
          </m:e>
          <m:sub>
            <m:r>
              <m:rPr>
                <m:sty m:val="bi"/>
              </m:rPr>
              <w:rPr>
                <w:rFonts w:ascii="Cambria Math" w:eastAsiaTheme="minorEastAsia" w:hAnsi="Cambria Math" w:cs="Arial"/>
                <w:sz w:val="24"/>
                <w:szCs w:val="24"/>
                <w:lang w:eastAsia="es-AR"/>
              </w:rPr>
              <m:t>t</m:t>
            </m:r>
          </m:sub>
          <m:sup>
            <m:r>
              <m:rPr>
                <m:sty m:val="bi"/>
              </m:rPr>
              <w:rPr>
                <w:rFonts w:ascii="Cambria Math" w:eastAsiaTheme="minorEastAsia" w:hAnsi="Cambria Math" w:cs="Arial"/>
                <w:sz w:val="24"/>
                <w:szCs w:val="24"/>
                <w:lang w:eastAsia="es-AR"/>
              </w:rPr>
              <m:t>*</m:t>
            </m:r>
          </m:sup>
        </m:sSubSup>
        <m:r>
          <m:rPr>
            <m:sty m:val="bi"/>
          </m:rPr>
          <w:rPr>
            <w:rFonts w:ascii="Cambria Math" w:eastAsiaTheme="minorEastAsia" w:hAnsi="Cambria Math" w:cs="Arial"/>
            <w:sz w:val="24"/>
            <w:szCs w:val="24"/>
            <w:lang w:eastAsia="es-AR"/>
          </w:rPr>
          <m:t xml:space="preserve"> + </m:t>
        </m:r>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u</m:t>
            </m:r>
          </m:e>
          <m:sub>
            <m:r>
              <m:rPr>
                <m:sty m:val="bi"/>
              </m:rPr>
              <w:rPr>
                <w:rFonts w:ascii="Cambria Math" w:eastAsiaTheme="minorEastAsia" w:hAnsi="Cambria Math" w:cs="Arial"/>
                <w:sz w:val="24"/>
                <w:szCs w:val="24"/>
                <w:lang w:eastAsia="es-AR"/>
              </w:rPr>
              <m:t>t</m:t>
            </m:r>
          </m:sub>
        </m:sSub>
      </m:oMath>
      <w:r w:rsidR="00360F7B" w:rsidRPr="0019244A">
        <w:rPr>
          <w:rFonts w:eastAsiaTheme="minorEastAsia" w:cs="Arial"/>
          <w:b/>
          <w:sz w:val="24"/>
          <w:szCs w:val="24"/>
          <w:lang w:eastAsia="es-AR"/>
        </w:rPr>
        <w:t xml:space="preserve"> </w:t>
      </w:r>
    </w:p>
    <w:p w:rsidR="00360F7B" w:rsidRPr="00B42455" w:rsidRDefault="00360F7B" w:rsidP="005F1E1C">
      <w:pPr>
        <w:spacing w:after="0"/>
        <w:jc w:val="both"/>
        <w:rPr>
          <w:rFonts w:cs="Arial"/>
          <w:sz w:val="24"/>
          <w:szCs w:val="24"/>
          <w:lang w:eastAsia="es-AR"/>
        </w:rPr>
      </w:pPr>
      <w:r w:rsidRPr="00B42455">
        <w:rPr>
          <w:rFonts w:cs="Arial"/>
          <w:sz w:val="24"/>
          <w:szCs w:val="24"/>
          <w:lang w:eastAsia="es-AR"/>
        </w:rPr>
        <w:t xml:space="preserve">Donde: </w:t>
      </w:r>
    </w:p>
    <w:p w:rsidR="00360F7B" w:rsidRPr="00B42455" w:rsidRDefault="00AB0E14" w:rsidP="005F1E1C">
      <w:pPr>
        <w:spacing w:after="0"/>
        <w:jc w:val="both"/>
        <w:rPr>
          <w:rFonts w:eastAsiaTheme="minorEastAsia" w:cs="Arial"/>
          <w:sz w:val="24"/>
          <w:szCs w:val="24"/>
          <w:lang w:eastAsia="es-AR"/>
        </w:rPr>
      </w:pPr>
      <m:oMath>
        <m:sSup>
          <m:sSupPr>
            <m:ctrlPr>
              <w:rPr>
                <w:rFonts w:ascii="Cambria Math" w:eastAsiaTheme="minorEastAsia" w:hAnsi="Cambria Math" w:cs="Arial"/>
                <w:i/>
                <w:sz w:val="24"/>
                <w:szCs w:val="24"/>
                <w:lang w:eastAsia="es-AR"/>
              </w:rPr>
            </m:ctrlPr>
          </m:sSupPr>
          <m:e>
            <m:sSub>
              <m:sSubPr>
                <m:ctrlPr>
                  <w:rPr>
                    <w:rFonts w:ascii="Cambria Math" w:eastAsiaTheme="minorEastAsia" w:hAnsi="Cambria Math" w:cs="Arial"/>
                    <w:i/>
                    <w:sz w:val="24"/>
                    <w:szCs w:val="24"/>
                    <w:lang w:eastAsia="es-AR"/>
                  </w:rPr>
                </m:ctrlPr>
              </m:sSubPr>
              <m:e>
                <m:r>
                  <w:rPr>
                    <w:rFonts w:ascii="Cambria Math" w:eastAsiaTheme="minorEastAsia" w:hAnsi="Cambria Math" w:cs="Arial"/>
                    <w:sz w:val="24"/>
                    <w:szCs w:val="24"/>
                    <w:lang w:eastAsia="es-AR"/>
                  </w:rPr>
                  <m:t>AFM</m:t>
                </m:r>
              </m:e>
              <m:sub>
                <m:r>
                  <w:rPr>
                    <w:rFonts w:ascii="Cambria Math" w:eastAsiaTheme="minorEastAsia" w:hAnsi="Cambria Math" w:cs="Arial"/>
                    <w:sz w:val="24"/>
                    <w:szCs w:val="24"/>
                    <w:lang w:eastAsia="es-AR"/>
                  </w:rPr>
                  <m:t>t</m:t>
                </m:r>
              </m:sub>
            </m:sSub>
          </m:e>
          <m:sup>
            <m:r>
              <w:rPr>
                <w:rFonts w:ascii="Cambria Math" w:eastAsiaTheme="minorEastAsia" w:hAnsi="Cambria Math" w:cs="Arial"/>
                <w:sz w:val="24"/>
                <w:szCs w:val="24"/>
                <w:lang w:eastAsia="es-AR"/>
              </w:rPr>
              <m:t>*</m:t>
            </m:r>
          </m:sup>
        </m:sSup>
      </m:oMath>
      <w:r w:rsidR="00360F7B" w:rsidRPr="00B42455">
        <w:rPr>
          <w:rFonts w:eastAsiaTheme="minorEastAsia" w:cs="Arial"/>
          <w:sz w:val="24"/>
          <w:szCs w:val="24"/>
          <w:lang w:eastAsia="es-AR"/>
        </w:rPr>
        <w:t xml:space="preserve">= </w:t>
      </w:r>
      <m:oMath>
        <m:sSub>
          <m:sSubPr>
            <m:ctrlPr>
              <w:rPr>
                <w:rFonts w:ascii="Cambria Math" w:eastAsiaTheme="minorEastAsia" w:hAnsi="Cambria Math" w:cs="Arial"/>
                <w:i/>
                <w:sz w:val="24"/>
                <w:szCs w:val="24"/>
                <w:lang w:eastAsia="es-AR"/>
              </w:rPr>
            </m:ctrlPr>
          </m:sSubPr>
          <m:e>
            <m:r>
              <w:rPr>
                <w:rFonts w:ascii="Cambria Math" w:eastAsiaTheme="minorEastAsia" w:hAnsi="Cambria Math" w:cs="Arial"/>
                <w:sz w:val="24"/>
                <w:szCs w:val="24"/>
                <w:lang w:eastAsia="es-AR"/>
              </w:rPr>
              <m:t>Ln(AFM</m:t>
            </m:r>
          </m:e>
          <m:sub>
            <m:r>
              <w:rPr>
                <w:rFonts w:ascii="Cambria Math" w:eastAsiaTheme="minorEastAsia" w:hAnsi="Cambria Math" w:cs="Arial"/>
                <w:sz w:val="24"/>
                <w:szCs w:val="24"/>
                <w:lang w:eastAsia="es-AR"/>
              </w:rPr>
              <m:t>t</m:t>
            </m:r>
          </m:sub>
        </m:sSub>
        <m:r>
          <w:rPr>
            <w:rFonts w:ascii="Cambria Math" w:eastAsiaTheme="minorEastAsia" w:hAnsi="Cambria Math" w:cs="Arial"/>
            <w:sz w:val="24"/>
            <w:szCs w:val="24"/>
            <w:lang w:eastAsia="es-AR"/>
          </w:rPr>
          <m:t>)</m:t>
        </m:r>
      </m:oMath>
      <w:r w:rsidR="00360F7B" w:rsidRPr="00B42455">
        <w:rPr>
          <w:rFonts w:eastAsiaTheme="minorEastAsia" w:cs="Arial"/>
          <w:sz w:val="24"/>
          <w:szCs w:val="24"/>
          <w:lang w:eastAsia="es-AR"/>
        </w:rPr>
        <w:t xml:space="preserve"> ; </w:t>
      </w:r>
    </w:p>
    <w:p w:rsidR="00360F7B" w:rsidRPr="00B42455" w:rsidRDefault="00AB0E14" w:rsidP="005F1E1C">
      <w:pPr>
        <w:spacing w:after="0"/>
        <w:jc w:val="both"/>
        <w:rPr>
          <w:rFonts w:eastAsiaTheme="minorEastAsia" w:cs="Arial"/>
          <w:sz w:val="24"/>
          <w:szCs w:val="24"/>
          <w:lang w:eastAsia="es-AR"/>
        </w:rPr>
      </w:pPr>
      <m:oMath>
        <m:sSup>
          <m:sSupPr>
            <m:ctrlPr>
              <w:rPr>
                <w:rFonts w:ascii="Cambria Math" w:eastAsiaTheme="minorEastAsia" w:hAnsi="Cambria Math" w:cs="Arial"/>
                <w:i/>
                <w:sz w:val="24"/>
                <w:szCs w:val="24"/>
                <w:lang w:eastAsia="es-AR"/>
              </w:rPr>
            </m:ctrlPr>
          </m:sSupPr>
          <m:e>
            <m:r>
              <w:rPr>
                <w:rFonts w:ascii="Cambria Math" w:eastAsiaTheme="minorEastAsia" w:hAnsi="Cambria Math" w:cs="Arial"/>
                <w:sz w:val="24"/>
                <w:szCs w:val="24"/>
                <w:lang w:eastAsia="es-AR"/>
              </w:rPr>
              <m:t>α</m:t>
            </m:r>
          </m:e>
          <m:sup>
            <m:r>
              <w:rPr>
                <w:rFonts w:ascii="Cambria Math" w:eastAsiaTheme="minorEastAsia" w:hAnsi="Cambria Math" w:cs="Arial"/>
                <w:sz w:val="24"/>
                <w:szCs w:val="24"/>
                <w:lang w:eastAsia="es-AR"/>
              </w:rPr>
              <m:t>*</m:t>
            </m:r>
          </m:sup>
        </m:sSup>
      </m:oMath>
      <w:r w:rsidR="00360F7B" w:rsidRPr="00B42455">
        <w:rPr>
          <w:rFonts w:eastAsiaTheme="minorEastAsia" w:cs="Arial"/>
          <w:sz w:val="24"/>
          <w:szCs w:val="24"/>
          <w:lang w:eastAsia="es-AR"/>
        </w:rPr>
        <w:t xml:space="preserve">= </w:t>
      </w:r>
      <m:oMath>
        <m:r>
          <w:rPr>
            <w:rFonts w:ascii="Cambria Math" w:eastAsiaTheme="minorEastAsia" w:hAnsi="Cambria Math" w:cs="Arial"/>
            <w:sz w:val="24"/>
            <w:szCs w:val="24"/>
            <w:lang w:eastAsia="es-AR"/>
          </w:rPr>
          <m:t>Ln</m:t>
        </m:r>
        <m:d>
          <m:dPr>
            <m:ctrlPr>
              <w:rPr>
                <w:rFonts w:ascii="Cambria Math" w:eastAsiaTheme="minorEastAsia" w:hAnsi="Cambria Math" w:cs="Arial"/>
                <w:i/>
                <w:sz w:val="24"/>
                <w:szCs w:val="24"/>
                <w:lang w:eastAsia="es-AR"/>
              </w:rPr>
            </m:ctrlPr>
          </m:dPr>
          <m:e>
            <m:r>
              <w:rPr>
                <w:rFonts w:ascii="Cambria Math" w:eastAsiaTheme="minorEastAsia" w:hAnsi="Cambria Math" w:cs="Arial"/>
                <w:sz w:val="24"/>
                <w:szCs w:val="24"/>
                <w:lang w:eastAsia="es-AR"/>
              </w:rPr>
              <m:t>α</m:t>
            </m:r>
          </m:e>
        </m:d>
      </m:oMath>
      <w:r w:rsidR="00360F7B" w:rsidRPr="00B42455">
        <w:rPr>
          <w:rFonts w:eastAsiaTheme="minorEastAsia" w:cs="Arial"/>
          <w:sz w:val="24"/>
          <w:szCs w:val="24"/>
          <w:lang w:eastAsia="es-AR"/>
        </w:rPr>
        <w:t xml:space="preserve"> ; </w:t>
      </w:r>
    </w:p>
    <w:p w:rsidR="00360F7B" w:rsidRPr="00B42455" w:rsidRDefault="00AB0E14" w:rsidP="005F1E1C">
      <w:pPr>
        <w:spacing w:after="0"/>
        <w:jc w:val="both"/>
        <w:rPr>
          <w:rFonts w:eastAsiaTheme="minorEastAsia" w:cs="Arial"/>
          <w:sz w:val="24"/>
          <w:szCs w:val="24"/>
          <w:lang w:eastAsia="es-AR"/>
        </w:rPr>
      </w:pPr>
      <m:oMath>
        <m:sSubSup>
          <m:sSubSupPr>
            <m:ctrlPr>
              <w:rPr>
                <w:rFonts w:ascii="Cambria Math" w:eastAsiaTheme="minorEastAsia" w:hAnsi="Cambria Math" w:cs="Arial"/>
                <w:i/>
                <w:sz w:val="24"/>
                <w:szCs w:val="24"/>
                <w:lang w:eastAsia="es-AR"/>
              </w:rPr>
            </m:ctrlPr>
          </m:sSubSupPr>
          <m:e>
            <m:r>
              <w:rPr>
                <w:rFonts w:ascii="Cambria Math" w:eastAsiaTheme="minorEastAsia" w:hAnsi="Cambria Math" w:cs="Arial"/>
                <w:sz w:val="24"/>
                <w:szCs w:val="24"/>
                <w:lang w:eastAsia="es-AR"/>
              </w:rPr>
              <m:t>TCN</m:t>
            </m:r>
          </m:e>
          <m:sub>
            <m:r>
              <w:rPr>
                <w:rFonts w:ascii="Cambria Math" w:eastAsiaTheme="minorEastAsia" w:hAnsi="Cambria Math" w:cs="Arial"/>
                <w:sz w:val="24"/>
                <w:szCs w:val="24"/>
                <w:lang w:eastAsia="es-AR"/>
              </w:rPr>
              <m:t>t</m:t>
            </m:r>
          </m:sub>
          <m:sup>
            <m:r>
              <w:rPr>
                <w:rFonts w:ascii="Cambria Math" w:eastAsiaTheme="minorEastAsia" w:hAnsi="Cambria Math" w:cs="Arial"/>
                <w:sz w:val="24"/>
                <w:szCs w:val="24"/>
                <w:lang w:eastAsia="es-AR"/>
              </w:rPr>
              <m:t>*</m:t>
            </m:r>
          </m:sup>
        </m:sSubSup>
      </m:oMath>
      <w:r w:rsidR="00360F7B" w:rsidRPr="00B42455">
        <w:rPr>
          <w:rFonts w:eastAsiaTheme="minorEastAsia" w:cs="Arial"/>
          <w:sz w:val="24"/>
          <w:szCs w:val="24"/>
          <w:lang w:eastAsia="es-AR"/>
        </w:rPr>
        <w:t xml:space="preserve">= </w:t>
      </w:r>
      <m:oMath>
        <m:r>
          <w:rPr>
            <w:rFonts w:ascii="Cambria Math" w:eastAsiaTheme="minorEastAsia" w:hAnsi="Cambria Math" w:cs="Arial"/>
            <w:sz w:val="24"/>
            <w:szCs w:val="24"/>
            <w:lang w:eastAsia="es-AR"/>
          </w:rPr>
          <m:t>Ln</m:t>
        </m:r>
        <m:d>
          <m:dPr>
            <m:ctrlPr>
              <w:rPr>
                <w:rFonts w:ascii="Cambria Math" w:eastAsiaTheme="minorEastAsia" w:hAnsi="Cambria Math" w:cs="Arial"/>
                <w:i/>
                <w:sz w:val="24"/>
                <w:szCs w:val="24"/>
                <w:lang w:eastAsia="es-AR"/>
              </w:rPr>
            </m:ctrlPr>
          </m:dPr>
          <m:e>
            <m:sSubSup>
              <m:sSubSupPr>
                <m:ctrlPr>
                  <w:rPr>
                    <w:rFonts w:ascii="Cambria Math" w:eastAsiaTheme="minorEastAsia" w:hAnsi="Cambria Math" w:cs="Arial"/>
                    <w:i/>
                    <w:sz w:val="24"/>
                    <w:szCs w:val="24"/>
                    <w:lang w:eastAsia="es-AR"/>
                  </w:rPr>
                </m:ctrlPr>
              </m:sSubSupPr>
              <m:e>
                <m:r>
                  <w:rPr>
                    <w:rFonts w:ascii="Cambria Math" w:eastAsiaTheme="minorEastAsia" w:hAnsi="Cambria Math" w:cs="Arial"/>
                    <w:sz w:val="24"/>
                    <w:szCs w:val="24"/>
                    <w:lang w:eastAsia="es-AR"/>
                  </w:rPr>
                  <m:t>TCN</m:t>
                </m:r>
              </m:e>
              <m:sub>
                <m:r>
                  <w:rPr>
                    <w:rFonts w:ascii="Cambria Math" w:eastAsiaTheme="minorEastAsia" w:hAnsi="Cambria Math" w:cs="Arial"/>
                    <w:sz w:val="24"/>
                    <w:szCs w:val="24"/>
                    <w:lang w:eastAsia="es-AR"/>
                  </w:rPr>
                  <m:t>t</m:t>
                </m:r>
              </m:sub>
              <m:sup/>
            </m:sSubSup>
          </m:e>
        </m:d>
      </m:oMath>
      <w:r w:rsidR="00360F7B" w:rsidRPr="00B42455">
        <w:rPr>
          <w:rFonts w:eastAsiaTheme="minorEastAsia" w:cs="Arial"/>
          <w:sz w:val="24"/>
          <w:szCs w:val="24"/>
          <w:lang w:eastAsia="es-AR"/>
        </w:rPr>
        <w:t xml:space="preserve"> ;</w:t>
      </w:r>
    </w:p>
    <w:p w:rsidR="00360F7B" w:rsidRPr="00B42455" w:rsidRDefault="00AB0E14" w:rsidP="005F1E1C">
      <w:pPr>
        <w:jc w:val="both"/>
        <w:rPr>
          <w:b/>
          <w:sz w:val="24"/>
          <w:szCs w:val="24"/>
        </w:rPr>
      </w:pPr>
      <m:oMath>
        <m:sSubSup>
          <m:sSubSupPr>
            <m:ctrlPr>
              <w:rPr>
                <w:rFonts w:ascii="Cambria Math" w:eastAsiaTheme="minorEastAsia" w:hAnsi="Cambria Math" w:cs="Arial"/>
                <w:i/>
                <w:sz w:val="24"/>
                <w:szCs w:val="24"/>
                <w:lang w:eastAsia="es-AR"/>
              </w:rPr>
            </m:ctrlPr>
          </m:sSubSupPr>
          <m:e>
            <m:r>
              <w:rPr>
                <w:rFonts w:ascii="Cambria Math" w:eastAsiaTheme="minorEastAsia" w:hAnsi="Cambria Math" w:cs="Arial"/>
                <w:sz w:val="24"/>
                <w:szCs w:val="24"/>
                <w:lang w:eastAsia="es-AR"/>
              </w:rPr>
              <m:t>EMAE</m:t>
            </m:r>
          </m:e>
          <m:sub>
            <m:r>
              <w:rPr>
                <w:rFonts w:ascii="Cambria Math" w:eastAsiaTheme="minorEastAsia" w:hAnsi="Cambria Math" w:cs="Arial"/>
                <w:sz w:val="24"/>
                <w:szCs w:val="24"/>
                <w:lang w:eastAsia="es-AR"/>
              </w:rPr>
              <m:t>t</m:t>
            </m:r>
          </m:sub>
          <m:sup>
            <m:r>
              <w:rPr>
                <w:rFonts w:ascii="Cambria Math" w:eastAsiaTheme="minorEastAsia" w:hAnsi="Cambria Math" w:cs="Arial"/>
                <w:sz w:val="24"/>
                <w:szCs w:val="24"/>
                <w:lang w:eastAsia="es-AR"/>
              </w:rPr>
              <m:t>*</m:t>
            </m:r>
          </m:sup>
        </m:sSubSup>
      </m:oMath>
      <w:r w:rsidR="00360F7B" w:rsidRPr="00B42455">
        <w:rPr>
          <w:rFonts w:eastAsiaTheme="minorEastAsia" w:cs="Arial"/>
          <w:sz w:val="24"/>
          <w:szCs w:val="24"/>
          <w:lang w:eastAsia="es-AR"/>
        </w:rPr>
        <w:t xml:space="preserve">= </w:t>
      </w:r>
      <m:oMath>
        <m:r>
          <w:rPr>
            <w:rFonts w:ascii="Cambria Math" w:eastAsiaTheme="minorEastAsia" w:hAnsi="Cambria Math" w:cs="Arial"/>
            <w:sz w:val="24"/>
            <w:szCs w:val="24"/>
            <w:lang w:eastAsia="es-AR"/>
          </w:rPr>
          <m:t>Ln</m:t>
        </m:r>
        <m:d>
          <m:dPr>
            <m:ctrlPr>
              <w:rPr>
                <w:rFonts w:ascii="Cambria Math" w:eastAsiaTheme="minorEastAsia" w:hAnsi="Cambria Math" w:cs="Arial"/>
                <w:i/>
                <w:sz w:val="24"/>
                <w:szCs w:val="24"/>
                <w:lang w:eastAsia="es-AR"/>
              </w:rPr>
            </m:ctrlPr>
          </m:dPr>
          <m:e>
            <m:sSubSup>
              <m:sSubSupPr>
                <m:ctrlPr>
                  <w:rPr>
                    <w:rFonts w:ascii="Cambria Math" w:eastAsiaTheme="minorEastAsia" w:hAnsi="Cambria Math" w:cs="Arial"/>
                    <w:i/>
                    <w:sz w:val="24"/>
                    <w:szCs w:val="24"/>
                    <w:lang w:eastAsia="es-AR"/>
                  </w:rPr>
                </m:ctrlPr>
              </m:sSubSupPr>
              <m:e>
                <m:r>
                  <w:rPr>
                    <w:rFonts w:ascii="Cambria Math" w:eastAsiaTheme="minorEastAsia" w:hAnsi="Cambria Math" w:cs="Arial"/>
                    <w:sz w:val="24"/>
                    <w:szCs w:val="24"/>
                    <w:lang w:eastAsia="es-AR"/>
                  </w:rPr>
                  <m:t>EMAE</m:t>
                </m:r>
              </m:e>
              <m:sub>
                <m:r>
                  <w:rPr>
                    <w:rFonts w:ascii="Cambria Math" w:eastAsiaTheme="minorEastAsia" w:hAnsi="Cambria Math" w:cs="Arial"/>
                    <w:sz w:val="24"/>
                    <w:szCs w:val="24"/>
                    <w:lang w:eastAsia="es-AR"/>
                  </w:rPr>
                  <m:t>t</m:t>
                </m:r>
              </m:sub>
              <m:sup/>
            </m:sSubSup>
          </m:e>
        </m:d>
      </m:oMath>
    </w:p>
    <w:p w:rsidR="00360F7B" w:rsidRPr="0019244A" w:rsidRDefault="00360F7B" w:rsidP="005F1E1C">
      <w:pPr>
        <w:jc w:val="both"/>
        <w:rPr>
          <w:b/>
          <w:sz w:val="28"/>
          <w:szCs w:val="28"/>
        </w:rPr>
      </w:pPr>
      <w:r w:rsidRPr="0019244A">
        <w:rPr>
          <w:b/>
          <w:sz w:val="28"/>
          <w:szCs w:val="28"/>
        </w:rPr>
        <w:t>Cointegración</w:t>
      </w:r>
      <w:r w:rsidR="0019244A">
        <w:rPr>
          <w:b/>
          <w:sz w:val="28"/>
          <w:szCs w:val="28"/>
        </w:rPr>
        <w:t>.</w:t>
      </w:r>
    </w:p>
    <w:p w:rsidR="0019244A" w:rsidRDefault="00360F7B" w:rsidP="0019244A">
      <w:pPr>
        <w:jc w:val="both"/>
        <w:rPr>
          <w:b/>
          <w:sz w:val="24"/>
          <w:szCs w:val="24"/>
        </w:rPr>
      </w:pPr>
      <w:r w:rsidRPr="00B42455">
        <w:rPr>
          <w:sz w:val="24"/>
          <w:szCs w:val="24"/>
        </w:rPr>
        <w:t xml:space="preserve">Para poder utilizar las series en niveles en el modelo, se verificó que mantuvieran una relación de cointegración durante el período seleccionado. Para ello, se utilizaron dos metodologías. En principio se realizó el </w:t>
      </w:r>
      <w:r w:rsidRPr="0019244A">
        <w:rPr>
          <w:b/>
          <w:sz w:val="24"/>
          <w:szCs w:val="24"/>
        </w:rPr>
        <w:t>test de</w:t>
      </w:r>
      <w:r w:rsidRPr="00B42455">
        <w:rPr>
          <w:sz w:val="24"/>
          <w:szCs w:val="24"/>
        </w:rPr>
        <w:t xml:space="preserve"> </w:t>
      </w:r>
      <w:r w:rsidRPr="0019244A">
        <w:rPr>
          <w:b/>
          <w:sz w:val="24"/>
          <w:szCs w:val="24"/>
        </w:rPr>
        <w:t>Engle Granger</w:t>
      </w:r>
      <w:r w:rsidRPr="00B42455">
        <w:rPr>
          <w:sz w:val="24"/>
          <w:szCs w:val="24"/>
        </w:rPr>
        <w:t xml:space="preserve">; luego re utilizó un modelo VAR y a partir de éste re efectuó el </w:t>
      </w:r>
      <w:r w:rsidRPr="0019244A">
        <w:rPr>
          <w:b/>
          <w:sz w:val="24"/>
          <w:szCs w:val="24"/>
        </w:rPr>
        <w:t>test de Johansen</w:t>
      </w:r>
      <w:r w:rsidRPr="00B42455">
        <w:rPr>
          <w:sz w:val="24"/>
          <w:szCs w:val="24"/>
        </w:rPr>
        <w:t xml:space="preserve">. </w:t>
      </w:r>
    </w:p>
    <w:p w:rsidR="00360F7B" w:rsidRPr="0019244A" w:rsidRDefault="0019244A" w:rsidP="0019244A">
      <w:pPr>
        <w:rPr>
          <w:b/>
          <w:sz w:val="28"/>
          <w:szCs w:val="28"/>
        </w:rPr>
      </w:pPr>
      <w:r w:rsidRPr="0019244A">
        <w:rPr>
          <w:b/>
          <w:sz w:val="28"/>
          <w:szCs w:val="28"/>
        </w:rPr>
        <w:t xml:space="preserve">Test </w:t>
      </w:r>
      <w:r w:rsidR="00360F7B" w:rsidRPr="0019244A">
        <w:rPr>
          <w:b/>
          <w:sz w:val="28"/>
          <w:szCs w:val="28"/>
        </w:rPr>
        <w:t>Engle Granger</w:t>
      </w:r>
      <w:r>
        <w:rPr>
          <w:b/>
          <w:sz w:val="28"/>
          <w:szCs w:val="28"/>
        </w:rPr>
        <w:t>.</w:t>
      </w:r>
    </w:p>
    <w:p w:rsidR="00360F7B" w:rsidRPr="00B42455" w:rsidRDefault="00360F7B" w:rsidP="005F1E1C">
      <w:pPr>
        <w:jc w:val="both"/>
        <w:rPr>
          <w:sz w:val="24"/>
          <w:szCs w:val="24"/>
        </w:rPr>
      </w:pPr>
      <w:r w:rsidRPr="00B42455">
        <w:rPr>
          <w:sz w:val="24"/>
          <w:szCs w:val="24"/>
        </w:rPr>
        <w:t>Se estimó el modelo econométrico especificado en la sección anterior:</w:t>
      </w:r>
    </w:p>
    <w:p w:rsidR="00360F7B" w:rsidRPr="0019244A" w:rsidRDefault="00AB0E14" w:rsidP="005F1E1C">
      <w:pPr>
        <w:spacing w:after="0"/>
        <w:jc w:val="center"/>
        <w:rPr>
          <w:rFonts w:eastAsiaTheme="minorEastAsia" w:cs="Arial"/>
          <w:sz w:val="28"/>
          <w:szCs w:val="28"/>
          <w:lang w:eastAsia="es-AR"/>
        </w:rPr>
      </w:pPr>
      <m:oMath>
        <m:sSup>
          <m:sSupPr>
            <m:ctrlPr>
              <w:rPr>
                <w:rFonts w:ascii="Cambria Math" w:eastAsiaTheme="minorEastAsia" w:hAnsi="Cambria Math" w:cs="Arial"/>
                <w:i/>
                <w:sz w:val="28"/>
                <w:szCs w:val="28"/>
                <w:lang w:eastAsia="es-AR"/>
              </w:rPr>
            </m:ctrlPr>
          </m:sSupPr>
          <m:e>
            <m:sSub>
              <m:sSubPr>
                <m:ctrlPr>
                  <w:rPr>
                    <w:rFonts w:ascii="Cambria Math" w:eastAsiaTheme="minorEastAsia" w:hAnsi="Cambria Math" w:cs="Arial"/>
                    <w:i/>
                    <w:sz w:val="28"/>
                    <w:szCs w:val="28"/>
                    <w:lang w:eastAsia="es-AR"/>
                  </w:rPr>
                </m:ctrlPr>
              </m:sSubPr>
              <m:e>
                <m:r>
                  <w:rPr>
                    <w:rFonts w:ascii="Cambria Math" w:eastAsiaTheme="minorEastAsia" w:hAnsi="Cambria Math" w:cs="Arial"/>
                    <w:sz w:val="28"/>
                    <w:szCs w:val="28"/>
                    <w:lang w:eastAsia="es-AR"/>
                  </w:rPr>
                  <m:t>AFM</m:t>
                </m:r>
              </m:e>
              <m:sub>
                <m:r>
                  <w:rPr>
                    <w:rFonts w:ascii="Cambria Math" w:eastAsiaTheme="minorEastAsia" w:hAnsi="Cambria Math" w:cs="Arial"/>
                    <w:sz w:val="28"/>
                    <w:szCs w:val="28"/>
                    <w:lang w:eastAsia="es-AR"/>
                  </w:rPr>
                  <m:t>t</m:t>
                </m:r>
              </m:sub>
            </m:sSub>
          </m:e>
          <m:sup>
            <m:r>
              <w:rPr>
                <w:rFonts w:ascii="Cambria Math" w:eastAsiaTheme="minorEastAsia" w:hAnsi="Cambria Math" w:cs="Arial"/>
                <w:sz w:val="28"/>
                <w:szCs w:val="28"/>
                <w:lang w:eastAsia="es-AR"/>
              </w:rPr>
              <m:t>*</m:t>
            </m:r>
          </m:sup>
        </m:sSup>
        <m:r>
          <w:rPr>
            <w:rFonts w:ascii="Cambria Math" w:eastAsiaTheme="minorEastAsia" w:hAnsi="Cambria Math" w:cs="Arial"/>
            <w:sz w:val="28"/>
            <w:szCs w:val="28"/>
            <w:lang w:eastAsia="es-AR"/>
          </w:rPr>
          <m:t xml:space="preserve">= </m:t>
        </m:r>
        <m:sSup>
          <m:sSupPr>
            <m:ctrlPr>
              <w:rPr>
                <w:rFonts w:ascii="Cambria Math" w:eastAsiaTheme="minorEastAsia" w:hAnsi="Cambria Math" w:cs="Arial"/>
                <w:i/>
                <w:sz w:val="28"/>
                <w:szCs w:val="28"/>
                <w:lang w:eastAsia="es-AR"/>
              </w:rPr>
            </m:ctrlPr>
          </m:sSupPr>
          <m:e>
            <m:r>
              <w:rPr>
                <w:rFonts w:ascii="Cambria Math" w:eastAsiaTheme="minorEastAsia" w:hAnsi="Cambria Math" w:cs="Arial"/>
                <w:sz w:val="28"/>
                <w:szCs w:val="28"/>
                <w:lang w:eastAsia="es-AR"/>
              </w:rPr>
              <m:t>α</m:t>
            </m:r>
          </m:e>
          <m:sup>
            <m:r>
              <w:rPr>
                <w:rFonts w:ascii="Cambria Math" w:eastAsiaTheme="minorEastAsia" w:hAnsi="Cambria Math" w:cs="Arial"/>
                <w:sz w:val="28"/>
                <w:szCs w:val="28"/>
                <w:lang w:eastAsia="es-AR"/>
              </w:rPr>
              <m:t>*</m:t>
            </m:r>
          </m:sup>
        </m:sSup>
        <m:r>
          <w:rPr>
            <w:rFonts w:ascii="Cambria Math" w:eastAsiaTheme="minorEastAsia" w:hAnsi="Cambria Math" w:cs="Arial"/>
            <w:sz w:val="28"/>
            <w:szCs w:val="28"/>
            <w:lang w:eastAsia="es-AR"/>
          </w:rPr>
          <m:t xml:space="preserve">+β . </m:t>
        </m:r>
        <m:sSubSup>
          <m:sSubSupPr>
            <m:ctrlPr>
              <w:rPr>
                <w:rFonts w:ascii="Cambria Math" w:eastAsiaTheme="minorEastAsia" w:hAnsi="Cambria Math" w:cs="Arial"/>
                <w:i/>
                <w:sz w:val="28"/>
                <w:szCs w:val="28"/>
                <w:lang w:eastAsia="es-AR"/>
              </w:rPr>
            </m:ctrlPr>
          </m:sSubSupPr>
          <m:e>
            <m:r>
              <w:rPr>
                <w:rFonts w:ascii="Cambria Math" w:eastAsiaTheme="minorEastAsia" w:hAnsi="Cambria Math" w:cs="Arial"/>
                <w:sz w:val="28"/>
                <w:szCs w:val="28"/>
                <w:lang w:eastAsia="es-AR"/>
              </w:rPr>
              <m:t>TCN</m:t>
            </m:r>
          </m:e>
          <m:sub>
            <m:r>
              <w:rPr>
                <w:rFonts w:ascii="Cambria Math" w:eastAsiaTheme="minorEastAsia" w:hAnsi="Cambria Math" w:cs="Arial"/>
                <w:sz w:val="28"/>
                <w:szCs w:val="28"/>
                <w:lang w:eastAsia="es-AR"/>
              </w:rPr>
              <m:t>t</m:t>
            </m:r>
          </m:sub>
          <m:sup>
            <m:r>
              <w:rPr>
                <w:rFonts w:ascii="Cambria Math" w:eastAsiaTheme="minorEastAsia" w:hAnsi="Cambria Math" w:cs="Arial"/>
                <w:sz w:val="28"/>
                <w:szCs w:val="28"/>
                <w:lang w:eastAsia="es-AR"/>
              </w:rPr>
              <m:t>*</m:t>
            </m:r>
          </m:sup>
        </m:sSubSup>
        <m:r>
          <w:rPr>
            <w:rFonts w:ascii="Cambria Math" w:eastAsiaTheme="minorEastAsia" w:hAnsi="Cambria Math" w:cs="Arial"/>
            <w:sz w:val="28"/>
            <w:szCs w:val="28"/>
            <w:lang w:eastAsia="es-AR"/>
          </w:rPr>
          <m:t xml:space="preserve"> + θ . </m:t>
        </m:r>
        <m:sSubSup>
          <m:sSubSupPr>
            <m:ctrlPr>
              <w:rPr>
                <w:rFonts w:ascii="Cambria Math" w:eastAsiaTheme="minorEastAsia" w:hAnsi="Cambria Math" w:cs="Arial"/>
                <w:i/>
                <w:sz w:val="28"/>
                <w:szCs w:val="28"/>
                <w:lang w:eastAsia="es-AR"/>
              </w:rPr>
            </m:ctrlPr>
          </m:sSubSupPr>
          <m:e>
            <m:r>
              <w:rPr>
                <w:rFonts w:ascii="Cambria Math" w:eastAsiaTheme="minorEastAsia" w:hAnsi="Cambria Math" w:cs="Arial"/>
                <w:sz w:val="28"/>
                <w:szCs w:val="28"/>
                <w:lang w:eastAsia="es-AR"/>
              </w:rPr>
              <m:t>EMAE</m:t>
            </m:r>
          </m:e>
          <m:sub>
            <m:r>
              <w:rPr>
                <w:rFonts w:ascii="Cambria Math" w:eastAsiaTheme="minorEastAsia" w:hAnsi="Cambria Math" w:cs="Arial"/>
                <w:sz w:val="28"/>
                <w:szCs w:val="28"/>
                <w:lang w:eastAsia="es-AR"/>
              </w:rPr>
              <m:t>t</m:t>
            </m:r>
          </m:sub>
          <m:sup>
            <m:r>
              <w:rPr>
                <w:rFonts w:ascii="Cambria Math" w:eastAsiaTheme="minorEastAsia" w:hAnsi="Cambria Math" w:cs="Arial"/>
                <w:sz w:val="28"/>
                <w:szCs w:val="28"/>
                <w:lang w:eastAsia="es-AR"/>
              </w:rPr>
              <m:t>*</m:t>
            </m:r>
          </m:sup>
        </m:sSubSup>
        <m:r>
          <w:rPr>
            <w:rFonts w:ascii="Cambria Math" w:eastAsiaTheme="minorEastAsia" w:hAnsi="Cambria Math" w:cs="Arial"/>
            <w:sz w:val="28"/>
            <w:szCs w:val="28"/>
            <w:lang w:eastAsia="es-AR"/>
          </w:rPr>
          <m:t xml:space="preserve"> + </m:t>
        </m:r>
        <m:sSub>
          <m:sSubPr>
            <m:ctrlPr>
              <w:rPr>
                <w:rFonts w:ascii="Cambria Math" w:eastAsiaTheme="minorEastAsia" w:hAnsi="Cambria Math" w:cs="Arial"/>
                <w:i/>
                <w:sz w:val="28"/>
                <w:szCs w:val="28"/>
                <w:lang w:eastAsia="es-AR"/>
              </w:rPr>
            </m:ctrlPr>
          </m:sSubPr>
          <m:e>
            <m:r>
              <w:rPr>
                <w:rFonts w:ascii="Cambria Math" w:eastAsiaTheme="minorEastAsia" w:hAnsi="Cambria Math" w:cs="Arial"/>
                <w:sz w:val="28"/>
                <w:szCs w:val="28"/>
                <w:lang w:eastAsia="es-AR"/>
              </w:rPr>
              <m:t>u</m:t>
            </m:r>
          </m:e>
          <m:sub>
            <m:r>
              <w:rPr>
                <w:rFonts w:ascii="Cambria Math" w:eastAsiaTheme="minorEastAsia" w:hAnsi="Cambria Math" w:cs="Arial"/>
                <w:sz w:val="28"/>
                <w:szCs w:val="28"/>
                <w:lang w:eastAsia="es-AR"/>
              </w:rPr>
              <m:t>t</m:t>
            </m:r>
          </m:sub>
        </m:sSub>
      </m:oMath>
      <w:r w:rsidR="00360F7B" w:rsidRPr="0019244A">
        <w:rPr>
          <w:rFonts w:eastAsiaTheme="minorEastAsia" w:cs="Arial"/>
          <w:sz w:val="28"/>
          <w:szCs w:val="28"/>
          <w:lang w:eastAsia="es-AR"/>
        </w:rPr>
        <w:t xml:space="preserve"> </w:t>
      </w:r>
    </w:p>
    <w:p w:rsidR="00360F7B" w:rsidRPr="00B42455" w:rsidRDefault="00360F7B" w:rsidP="005F1E1C">
      <w:pPr>
        <w:jc w:val="both"/>
        <w:rPr>
          <w:sz w:val="24"/>
          <w:szCs w:val="24"/>
        </w:rPr>
      </w:pPr>
      <w:r w:rsidRPr="00B42455">
        <w:rPr>
          <w:sz w:val="24"/>
          <w:szCs w:val="24"/>
        </w:rPr>
        <w:t>Los resultados fueron los siguientes:</w:t>
      </w:r>
    </w:p>
    <w:p w:rsidR="00360F7B" w:rsidRPr="00B42455" w:rsidRDefault="00360F7B" w:rsidP="005F1E1C">
      <w:pPr>
        <w:jc w:val="center"/>
        <w:rPr>
          <w:sz w:val="24"/>
          <w:szCs w:val="24"/>
        </w:rPr>
      </w:pPr>
      <w:r w:rsidRPr="00B42455">
        <w:rPr>
          <w:noProof/>
          <w:sz w:val="24"/>
          <w:szCs w:val="24"/>
          <w:lang w:val="es-ES" w:eastAsia="es-ES"/>
        </w:rPr>
        <w:lastRenderedPageBreak/>
        <w:drawing>
          <wp:inline distT="0" distB="0" distL="0" distR="0">
            <wp:extent cx="3581400" cy="2028825"/>
            <wp:effectExtent l="19050" t="19050" r="19050" b="285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5995" cy="2042758"/>
                    </a:xfrm>
                    <a:prstGeom prst="rect">
                      <a:avLst/>
                    </a:prstGeom>
                    <a:noFill/>
                    <a:ln>
                      <a:solidFill>
                        <a:schemeClr val="accent1"/>
                      </a:solidFill>
                    </a:ln>
                  </pic:spPr>
                </pic:pic>
              </a:graphicData>
            </a:graphic>
          </wp:inline>
        </w:drawing>
      </w:r>
    </w:p>
    <w:p w:rsidR="0019244A" w:rsidRDefault="00360F7B" w:rsidP="0019244A">
      <w:pPr>
        <w:jc w:val="both"/>
        <w:rPr>
          <w:sz w:val="24"/>
          <w:szCs w:val="24"/>
        </w:rPr>
      </w:pPr>
      <w:r w:rsidRPr="00B42455">
        <w:rPr>
          <w:sz w:val="24"/>
          <w:szCs w:val="24"/>
        </w:rPr>
        <w:t>Para efectuar el test se tomaron los residuos del modelo, cuyo correlograma y test DF se presentan a continuación:</w:t>
      </w:r>
    </w:p>
    <w:p w:rsidR="00360F7B" w:rsidRPr="0019244A" w:rsidRDefault="00360F7B" w:rsidP="0019244A">
      <w:pPr>
        <w:jc w:val="center"/>
        <w:rPr>
          <w:b/>
          <w:i/>
          <w:sz w:val="24"/>
          <w:szCs w:val="24"/>
          <w:u w:val="single"/>
        </w:rPr>
      </w:pPr>
      <w:r w:rsidRPr="0019244A">
        <w:rPr>
          <w:b/>
          <w:i/>
          <w:sz w:val="24"/>
          <w:szCs w:val="24"/>
          <w:u w:val="single"/>
        </w:rPr>
        <w:t>Correlograma</w:t>
      </w:r>
    </w:p>
    <w:p w:rsidR="00360F7B" w:rsidRPr="00B42455" w:rsidRDefault="00360F7B" w:rsidP="005F1E1C">
      <w:pPr>
        <w:jc w:val="center"/>
        <w:rPr>
          <w:sz w:val="24"/>
          <w:szCs w:val="24"/>
        </w:rPr>
      </w:pPr>
      <w:r w:rsidRPr="00B42455">
        <w:rPr>
          <w:noProof/>
          <w:sz w:val="24"/>
          <w:szCs w:val="24"/>
          <w:lang w:val="es-ES" w:eastAsia="es-ES"/>
        </w:rPr>
        <w:drawing>
          <wp:inline distT="0" distB="0" distL="0" distR="0">
            <wp:extent cx="3286125" cy="3152426"/>
            <wp:effectExtent l="19050" t="19050" r="9525" b="1016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4992" cy="3180119"/>
                    </a:xfrm>
                    <a:prstGeom prst="rect">
                      <a:avLst/>
                    </a:prstGeom>
                    <a:noFill/>
                    <a:ln>
                      <a:solidFill>
                        <a:schemeClr val="accent1"/>
                      </a:solidFill>
                    </a:ln>
                  </pic:spPr>
                </pic:pic>
              </a:graphicData>
            </a:graphic>
          </wp:inline>
        </w:drawing>
      </w:r>
    </w:p>
    <w:p w:rsidR="0019244A" w:rsidRDefault="00360F7B" w:rsidP="005F1E1C">
      <w:pPr>
        <w:jc w:val="center"/>
        <w:rPr>
          <w:b/>
          <w:i/>
          <w:sz w:val="24"/>
          <w:szCs w:val="24"/>
          <w:u w:val="single"/>
        </w:rPr>
      </w:pPr>
      <w:r w:rsidRPr="0019244A">
        <w:rPr>
          <w:b/>
          <w:i/>
          <w:sz w:val="24"/>
          <w:szCs w:val="24"/>
          <w:u w:val="single"/>
        </w:rPr>
        <w:t>DF en niveles</w:t>
      </w:r>
    </w:p>
    <w:p w:rsidR="00360F7B" w:rsidRPr="00B42455" w:rsidRDefault="00360F7B" w:rsidP="005F1E1C">
      <w:pPr>
        <w:jc w:val="center"/>
        <w:rPr>
          <w:sz w:val="24"/>
          <w:szCs w:val="24"/>
        </w:rPr>
      </w:pPr>
      <w:r w:rsidRPr="00B42455">
        <w:rPr>
          <w:noProof/>
          <w:sz w:val="24"/>
          <w:szCs w:val="24"/>
          <w:lang w:val="es-ES" w:eastAsia="es-ES"/>
        </w:rPr>
        <w:drawing>
          <wp:inline distT="0" distB="0" distL="0" distR="0">
            <wp:extent cx="3803015" cy="1409700"/>
            <wp:effectExtent l="19050" t="19050" r="26035" b="190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1933" cy="1420419"/>
                    </a:xfrm>
                    <a:prstGeom prst="rect">
                      <a:avLst/>
                    </a:prstGeom>
                    <a:noFill/>
                    <a:ln>
                      <a:solidFill>
                        <a:schemeClr val="accent1"/>
                      </a:solidFill>
                    </a:ln>
                  </pic:spPr>
                </pic:pic>
              </a:graphicData>
            </a:graphic>
          </wp:inline>
        </w:drawing>
      </w:r>
    </w:p>
    <w:p w:rsidR="00B65488" w:rsidRPr="00B42455" w:rsidRDefault="00B65488" w:rsidP="005F1E1C">
      <w:pPr>
        <w:jc w:val="both"/>
        <w:rPr>
          <w:sz w:val="24"/>
          <w:szCs w:val="24"/>
        </w:rPr>
      </w:pPr>
      <w:r w:rsidRPr="00B42455">
        <w:rPr>
          <w:sz w:val="24"/>
          <w:szCs w:val="24"/>
        </w:rPr>
        <w:lastRenderedPageBreak/>
        <w:t>Los resultados indican que los residuos son estacionarios, por lo que se considera que las variables presentan una relación de cointegración. Sin embargo, para dar mayor robustez a los resultados se realizó también el test de Johansen.</w:t>
      </w:r>
    </w:p>
    <w:p w:rsidR="00B65488" w:rsidRPr="0019244A" w:rsidRDefault="0019244A" w:rsidP="005F1E1C">
      <w:pPr>
        <w:jc w:val="both"/>
        <w:rPr>
          <w:b/>
          <w:sz w:val="28"/>
          <w:szCs w:val="28"/>
        </w:rPr>
      </w:pPr>
      <w:r>
        <w:rPr>
          <w:b/>
          <w:sz w:val="28"/>
          <w:szCs w:val="28"/>
        </w:rPr>
        <w:t xml:space="preserve">Test de </w:t>
      </w:r>
      <w:r w:rsidR="00B65488" w:rsidRPr="0019244A">
        <w:rPr>
          <w:b/>
          <w:sz w:val="28"/>
          <w:szCs w:val="28"/>
        </w:rPr>
        <w:t>Johansen</w:t>
      </w:r>
      <w:r>
        <w:rPr>
          <w:b/>
          <w:sz w:val="28"/>
          <w:szCs w:val="28"/>
        </w:rPr>
        <w:t>.</w:t>
      </w:r>
    </w:p>
    <w:p w:rsidR="00360F7B" w:rsidRPr="00B42455" w:rsidRDefault="00B65488" w:rsidP="005F1E1C">
      <w:pPr>
        <w:jc w:val="both"/>
        <w:rPr>
          <w:sz w:val="24"/>
          <w:szCs w:val="24"/>
        </w:rPr>
      </w:pPr>
      <w:r w:rsidRPr="00B42455">
        <w:rPr>
          <w:sz w:val="24"/>
          <w:szCs w:val="24"/>
        </w:rPr>
        <w:t>Tanto como los resultados del apartado anterior, l</w:t>
      </w:r>
      <w:r w:rsidR="00360F7B" w:rsidRPr="00B42455">
        <w:rPr>
          <w:sz w:val="24"/>
          <w:szCs w:val="24"/>
        </w:rPr>
        <w:t>os resultados que se exponen a continuación muestran que existen vectores de cointegración</w:t>
      </w:r>
      <w:r w:rsidRPr="00B42455">
        <w:rPr>
          <w:sz w:val="24"/>
          <w:szCs w:val="24"/>
        </w:rPr>
        <w:t>. En este caso para</w:t>
      </w:r>
      <w:r w:rsidR="00360F7B" w:rsidRPr="00B42455">
        <w:rPr>
          <w:sz w:val="24"/>
          <w:szCs w:val="24"/>
        </w:rPr>
        <w:t xml:space="preserve"> las diferentes especificaciones VAR</w:t>
      </w:r>
      <w:r w:rsidRPr="00B42455">
        <w:rPr>
          <w:sz w:val="24"/>
          <w:szCs w:val="24"/>
        </w:rPr>
        <w:t xml:space="preserve"> existen vectores de cointegración</w:t>
      </w:r>
      <w:r w:rsidR="00360F7B" w:rsidRPr="00B42455">
        <w:rPr>
          <w:sz w:val="24"/>
          <w:szCs w:val="24"/>
        </w:rPr>
        <w:t>. Esto implica que las series comparten una relación de largo plazo y que por lo tanto pueden utilizarse en un modelo multivariado en niveles, sin aplicar la transformación de diferencias.</w:t>
      </w:r>
    </w:p>
    <w:p w:rsidR="0019244A" w:rsidRPr="00D97D50" w:rsidRDefault="00B65488" w:rsidP="005F1E1C">
      <w:pPr>
        <w:jc w:val="center"/>
        <w:rPr>
          <w:b/>
          <w:i/>
          <w:sz w:val="24"/>
          <w:szCs w:val="24"/>
          <w:u w:val="single"/>
        </w:rPr>
      </w:pPr>
      <w:r w:rsidRPr="00D97D50">
        <w:rPr>
          <w:b/>
          <w:i/>
          <w:sz w:val="24"/>
          <w:szCs w:val="24"/>
          <w:u w:val="single"/>
        </w:rPr>
        <w:t>Modelo VAR</w:t>
      </w:r>
    </w:p>
    <w:p w:rsidR="00B65488" w:rsidRPr="00B42455" w:rsidRDefault="00B65488" w:rsidP="005F1E1C">
      <w:pPr>
        <w:jc w:val="center"/>
        <w:rPr>
          <w:i/>
          <w:sz w:val="24"/>
          <w:szCs w:val="24"/>
          <w:u w:val="single"/>
        </w:rPr>
      </w:pPr>
      <w:r w:rsidRPr="00B42455">
        <w:rPr>
          <w:i/>
          <w:noProof/>
          <w:sz w:val="24"/>
          <w:szCs w:val="24"/>
          <w:u w:val="single"/>
          <w:lang w:val="es-ES" w:eastAsia="es-ES"/>
        </w:rPr>
        <w:drawing>
          <wp:inline distT="0" distB="0" distL="0" distR="0">
            <wp:extent cx="3858402" cy="5391150"/>
            <wp:effectExtent l="19050" t="19050" r="27940" b="190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0248" cy="5421674"/>
                    </a:xfrm>
                    <a:prstGeom prst="rect">
                      <a:avLst/>
                    </a:prstGeom>
                    <a:noFill/>
                    <a:ln>
                      <a:solidFill>
                        <a:schemeClr val="accent1"/>
                      </a:solidFill>
                    </a:ln>
                  </pic:spPr>
                </pic:pic>
              </a:graphicData>
            </a:graphic>
          </wp:inline>
        </w:drawing>
      </w:r>
    </w:p>
    <w:p w:rsidR="00AD1E0A" w:rsidRPr="00D97D50" w:rsidRDefault="00AD1E0A" w:rsidP="005F1E1C">
      <w:pPr>
        <w:jc w:val="center"/>
        <w:rPr>
          <w:b/>
          <w:i/>
          <w:sz w:val="24"/>
          <w:szCs w:val="24"/>
          <w:u w:val="single"/>
        </w:rPr>
      </w:pPr>
      <w:r w:rsidRPr="00D97D50">
        <w:rPr>
          <w:b/>
          <w:i/>
          <w:sz w:val="24"/>
          <w:szCs w:val="24"/>
          <w:u w:val="single"/>
        </w:rPr>
        <w:lastRenderedPageBreak/>
        <w:t>Test Johansen</w:t>
      </w:r>
    </w:p>
    <w:p w:rsidR="00360F7B" w:rsidRPr="00B42455" w:rsidRDefault="00360F7B" w:rsidP="005F1E1C">
      <w:pPr>
        <w:jc w:val="center"/>
        <w:rPr>
          <w:sz w:val="24"/>
          <w:szCs w:val="24"/>
        </w:rPr>
      </w:pPr>
      <w:r w:rsidRPr="00B42455">
        <w:rPr>
          <w:noProof/>
          <w:sz w:val="24"/>
          <w:szCs w:val="24"/>
          <w:lang w:val="es-ES" w:eastAsia="es-ES"/>
        </w:rPr>
        <w:drawing>
          <wp:inline distT="0" distB="0" distL="0" distR="0" wp14:anchorId="2BDD7C53" wp14:editId="6AF73818">
            <wp:extent cx="3300540" cy="1724025"/>
            <wp:effectExtent l="19050" t="19050" r="1460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08055" cy="1727950"/>
                    </a:xfrm>
                    <a:prstGeom prst="rect">
                      <a:avLst/>
                    </a:prstGeom>
                    <a:noFill/>
                    <a:ln>
                      <a:solidFill>
                        <a:schemeClr val="accent1"/>
                      </a:solidFill>
                    </a:ln>
                  </pic:spPr>
                </pic:pic>
              </a:graphicData>
            </a:graphic>
          </wp:inline>
        </w:drawing>
      </w:r>
    </w:p>
    <w:p w:rsidR="0088137C" w:rsidRPr="00D97D50" w:rsidRDefault="0088137C" w:rsidP="005F1E1C">
      <w:pPr>
        <w:jc w:val="both"/>
        <w:rPr>
          <w:b/>
          <w:sz w:val="28"/>
          <w:szCs w:val="28"/>
        </w:rPr>
      </w:pPr>
      <w:r w:rsidRPr="00746523">
        <w:rPr>
          <w:b/>
          <w:sz w:val="28"/>
          <w:szCs w:val="28"/>
        </w:rPr>
        <w:t>Estimación</w:t>
      </w:r>
      <w:r w:rsidR="00D97D50" w:rsidRPr="00746523">
        <w:rPr>
          <w:b/>
          <w:sz w:val="28"/>
          <w:szCs w:val="28"/>
        </w:rPr>
        <w:t xml:space="preserve"> del Modelo.</w:t>
      </w:r>
    </w:p>
    <w:p w:rsidR="009509E1" w:rsidRPr="00B42455" w:rsidRDefault="00AD1E0A" w:rsidP="005F1E1C">
      <w:pPr>
        <w:jc w:val="both"/>
        <w:rPr>
          <w:sz w:val="24"/>
          <w:szCs w:val="24"/>
        </w:rPr>
      </w:pPr>
      <w:r w:rsidRPr="00B42455">
        <w:rPr>
          <w:sz w:val="24"/>
          <w:szCs w:val="24"/>
        </w:rPr>
        <w:t>Una vez definido el modelo y verificada la relación de cointegración de las series,</w:t>
      </w:r>
      <w:r w:rsidR="0088137C" w:rsidRPr="00B42455">
        <w:rPr>
          <w:sz w:val="24"/>
          <w:szCs w:val="24"/>
        </w:rPr>
        <w:t xml:space="preserve"> se utilizó el software Eviews8 para proceder a la estimación de los coeficientes. </w:t>
      </w:r>
      <w:r w:rsidR="009509E1" w:rsidRPr="00B42455">
        <w:rPr>
          <w:sz w:val="24"/>
          <w:szCs w:val="24"/>
        </w:rPr>
        <w:t>Como puede apreciarse se incorporaron componentes autorregresivos y de medias móviles. La especificación correspondiente fue la siguiente:</w:t>
      </w:r>
    </w:p>
    <w:p w:rsidR="009509E1" w:rsidRPr="00D97D50" w:rsidRDefault="00AB0E14" w:rsidP="005F1E1C">
      <w:pPr>
        <w:spacing w:after="0"/>
        <w:jc w:val="center"/>
        <w:rPr>
          <w:rFonts w:cs="Arial"/>
          <w:b/>
          <w:sz w:val="26"/>
          <w:szCs w:val="26"/>
          <w:lang w:eastAsia="es-AR"/>
        </w:rPr>
      </w:pPr>
      <m:oMathPara>
        <m:oMathParaPr>
          <m:jc m:val="center"/>
        </m:oMathParaPr>
        <m:oMath>
          <m:sSup>
            <m:sSupPr>
              <m:ctrlPr>
                <w:rPr>
                  <w:rFonts w:ascii="Cambria Math" w:eastAsiaTheme="minorEastAsia" w:hAnsi="Cambria Math" w:cs="Arial"/>
                  <w:b/>
                  <w:i/>
                  <w:sz w:val="26"/>
                  <w:szCs w:val="26"/>
                  <w:lang w:eastAsia="es-AR"/>
                </w:rPr>
              </m:ctrlPr>
            </m:sSupPr>
            <m:e>
              <m:sSub>
                <m:sSubPr>
                  <m:ctrlPr>
                    <w:rPr>
                      <w:rFonts w:ascii="Cambria Math" w:eastAsiaTheme="minorEastAsia" w:hAnsi="Cambria Math" w:cs="Arial"/>
                      <w:b/>
                      <w:i/>
                      <w:sz w:val="26"/>
                      <w:szCs w:val="26"/>
                      <w:lang w:eastAsia="es-AR"/>
                    </w:rPr>
                  </m:ctrlPr>
                </m:sSubPr>
                <m:e>
                  <m:r>
                    <m:rPr>
                      <m:sty m:val="bi"/>
                    </m:rPr>
                    <w:rPr>
                      <w:rFonts w:ascii="Cambria Math" w:eastAsiaTheme="minorEastAsia" w:hAnsi="Cambria Math" w:cs="Arial"/>
                      <w:sz w:val="26"/>
                      <w:szCs w:val="26"/>
                      <w:lang w:eastAsia="es-AR"/>
                    </w:rPr>
                    <m:t>AFM</m:t>
                  </m:r>
                </m:e>
                <m:sub>
                  <m:r>
                    <m:rPr>
                      <m:sty m:val="bi"/>
                    </m:rPr>
                    <w:rPr>
                      <w:rFonts w:ascii="Cambria Math" w:eastAsiaTheme="minorEastAsia" w:hAnsi="Cambria Math" w:cs="Arial"/>
                      <w:sz w:val="26"/>
                      <w:szCs w:val="26"/>
                      <w:lang w:eastAsia="es-AR"/>
                    </w:rPr>
                    <m:t>t</m:t>
                  </m:r>
                </m:sub>
              </m:sSub>
            </m:e>
            <m:sup>
              <m:r>
                <m:rPr>
                  <m:sty m:val="bi"/>
                </m:rPr>
                <w:rPr>
                  <w:rFonts w:ascii="Cambria Math" w:eastAsiaTheme="minorEastAsia" w:hAnsi="Cambria Math" w:cs="Arial"/>
                  <w:sz w:val="26"/>
                  <w:szCs w:val="26"/>
                  <w:lang w:eastAsia="es-AR"/>
                </w:rPr>
                <m:t>*</m:t>
              </m:r>
            </m:sup>
          </m:sSup>
          <m:r>
            <m:rPr>
              <m:sty m:val="bi"/>
            </m:rPr>
            <w:rPr>
              <w:rFonts w:ascii="Cambria Math" w:eastAsiaTheme="minorEastAsia" w:hAnsi="Cambria Math" w:cs="Arial"/>
              <w:sz w:val="26"/>
              <w:szCs w:val="26"/>
              <w:lang w:eastAsia="es-AR"/>
            </w:rPr>
            <m:t xml:space="preserve">= </m:t>
          </m:r>
          <m:sSup>
            <m:sSupPr>
              <m:ctrlPr>
                <w:rPr>
                  <w:rFonts w:ascii="Cambria Math" w:eastAsiaTheme="minorEastAsia" w:hAnsi="Cambria Math" w:cs="Arial"/>
                  <w:b/>
                  <w:i/>
                  <w:sz w:val="26"/>
                  <w:szCs w:val="26"/>
                  <w:lang w:eastAsia="es-AR"/>
                </w:rPr>
              </m:ctrlPr>
            </m:sSupPr>
            <m:e>
              <m:r>
                <m:rPr>
                  <m:sty m:val="bi"/>
                </m:rPr>
                <w:rPr>
                  <w:rFonts w:ascii="Cambria Math" w:eastAsiaTheme="minorEastAsia" w:hAnsi="Cambria Math" w:cs="Arial"/>
                  <w:sz w:val="26"/>
                  <w:szCs w:val="26"/>
                  <w:lang w:eastAsia="es-AR"/>
                </w:rPr>
                <m:t>α</m:t>
              </m:r>
            </m:e>
            <m:sup>
              <m:r>
                <m:rPr>
                  <m:sty m:val="bi"/>
                </m:rPr>
                <w:rPr>
                  <w:rFonts w:ascii="Cambria Math" w:eastAsiaTheme="minorEastAsia" w:hAnsi="Cambria Math" w:cs="Arial"/>
                  <w:sz w:val="26"/>
                  <w:szCs w:val="26"/>
                  <w:lang w:eastAsia="es-AR"/>
                </w:rPr>
                <m:t>*</m:t>
              </m:r>
            </m:sup>
          </m:sSup>
          <m:r>
            <m:rPr>
              <m:sty m:val="bi"/>
            </m:rPr>
            <w:rPr>
              <w:rFonts w:ascii="Cambria Math" w:eastAsiaTheme="minorEastAsia" w:hAnsi="Cambria Math" w:cs="Arial"/>
              <w:sz w:val="26"/>
              <w:szCs w:val="26"/>
              <w:lang w:eastAsia="es-AR"/>
            </w:rPr>
            <m:t xml:space="preserve">+β . </m:t>
          </m:r>
          <m:sSubSup>
            <m:sSubSupPr>
              <m:ctrlPr>
                <w:rPr>
                  <w:rFonts w:ascii="Cambria Math" w:eastAsiaTheme="minorEastAsia" w:hAnsi="Cambria Math" w:cs="Arial"/>
                  <w:b/>
                  <w:i/>
                  <w:sz w:val="26"/>
                  <w:szCs w:val="26"/>
                  <w:lang w:eastAsia="es-AR"/>
                </w:rPr>
              </m:ctrlPr>
            </m:sSubSupPr>
            <m:e>
              <m:r>
                <m:rPr>
                  <m:sty m:val="bi"/>
                </m:rPr>
                <w:rPr>
                  <w:rFonts w:ascii="Cambria Math" w:eastAsiaTheme="minorEastAsia" w:hAnsi="Cambria Math" w:cs="Arial"/>
                  <w:sz w:val="26"/>
                  <w:szCs w:val="26"/>
                  <w:lang w:eastAsia="es-AR"/>
                </w:rPr>
                <m:t>TCN</m:t>
              </m:r>
            </m:e>
            <m:sub>
              <m:r>
                <m:rPr>
                  <m:sty m:val="bi"/>
                </m:rPr>
                <w:rPr>
                  <w:rFonts w:ascii="Cambria Math" w:eastAsiaTheme="minorEastAsia" w:hAnsi="Cambria Math" w:cs="Arial"/>
                  <w:sz w:val="26"/>
                  <w:szCs w:val="26"/>
                  <w:lang w:eastAsia="es-AR"/>
                </w:rPr>
                <m:t>t</m:t>
              </m:r>
            </m:sub>
            <m:sup>
              <m:r>
                <m:rPr>
                  <m:sty m:val="bi"/>
                </m:rPr>
                <w:rPr>
                  <w:rFonts w:ascii="Cambria Math" w:eastAsiaTheme="minorEastAsia" w:hAnsi="Cambria Math" w:cs="Arial"/>
                  <w:sz w:val="26"/>
                  <w:szCs w:val="26"/>
                  <w:lang w:eastAsia="es-AR"/>
                </w:rPr>
                <m:t>*</m:t>
              </m:r>
            </m:sup>
          </m:sSubSup>
          <m:r>
            <m:rPr>
              <m:sty m:val="bi"/>
            </m:rPr>
            <w:rPr>
              <w:rFonts w:ascii="Cambria Math" w:eastAsiaTheme="minorEastAsia" w:hAnsi="Cambria Math" w:cs="Arial"/>
              <w:sz w:val="26"/>
              <w:szCs w:val="26"/>
              <w:lang w:eastAsia="es-AR"/>
            </w:rPr>
            <m:t xml:space="preserve"> + θ . </m:t>
          </m:r>
          <m:sSubSup>
            <m:sSubSupPr>
              <m:ctrlPr>
                <w:rPr>
                  <w:rFonts w:ascii="Cambria Math" w:eastAsiaTheme="minorEastAsia" w:hAnsi="Cambria Math" w:cs="Arial"/>
                  <w:b/>
                  <w:i/>
                  <w:sz w:val="26"/>
                  <w:szCs w:val="26"/>
                  <w:lang w:eastAsia="es-AR"/>
                </w:rPr>
              </m:ctrlPr>
            </m:sSubSupPr>
            <m:e>
              <m:r>
                <m:rPr>
                  <m:sty m:val="bi"/>
                </m:rPr>
                <w:rPr>
                  <w:rFonts w:ascii="Cambria Math" w:eastAsiaTheme="minorEastAsia" w:hAnsi="Cambria Math" w:cs="Arial"/>
                  <w:sz w:val="26"/>
                  <w:szCs w:val="26"/>
                  <w:lang w:eastAsia="es-AR"/>
                </w:rPr>
                <m:t>EMAE</m:t>
              </m:r>
            </m:e>
            <m:sub>
              <m:r>
                <m:rPr>
                  <m:sty m:val="bi"/>
                </m:rPr>
                <w:rPr>
                  <w:rFonts w:ascii="Cambria Math" w:eastAsiaTheme="minorEastAsia" w:hAnsi="Cambria Math" w:cs="Arial"/>
                  <w:sz w:val="26"/>
                  <w:szCs w:val="26"/>
                  <w:lang w:eastAsia="es-AR"/>
                </w:rPr>
                <m:t>t</m:t>
              </m:r>
            </m:sub>
            <m:sup>
              <m:r>
                <m:rPr>
                  <m:sty m:val="bi"/>
                </m:rPr>
                <w:rPr>
                  <w:rFonts w:ascii="Cambria Math" w:eastAsiaTheme="minorEastAsia" w:hAnsi="Cambria Math" w:cs="Arial"/>
                  <w:sz w:val="26"/>
                  <w:szCs w:val="26"/>
                  <w:lang w:eastAsia="es-AR"/>
                </w:rPr>
                <m:t>*</m:t>
              </m:r>
            </m:sup>
          </m:sSubSup>
          <m:r>
            <m:rPr>
              <m:sty m:val="bi"/>
            </m:rPr>
            <w:rPr>
              <w:rFonts w:ascii="Cambria Math" w:eastAsiaTheme="minorEastAsia" w:hAnsi="Cambria Math" w:cs="Arial"/>
              <w:sz w:val="26"/>
              <w:szCs w:val="26"/>
              <w:lang w:eastAsia="es-AR"/>
            </w:rPr>
            <m:t xml:space="preserve"> + </m:t>
          </m:r>
          <m:sSub>
            <m:sSubPr>
              <m:ctrlPr>
                <w:rPr>
                  <w:rFonts w:ascii="Cambria Math" w:eastAsiaTheme="minorEastAsia" w:hAnsi="Cambria Math" w:cs="Arial"/>
                  <w:b/>
                  <w:i/>
                  <w:sz w:val="26"/>
                  <w:szCs w:val="26"/>
                  <w:lang w:eastAsia="es-AR"/>
                </w:rPr>
              </m:ctrlPr>
            </m:sSubPr>
            <m:e>
              <m:r>
                <m:rPr>
                  <m:sty m:val="bi"/>
                </m:rPr>
                <w:rPr>
                  <w:rFonts w:ascii="Cambria Math" w:eastAsiaTheme="minorEastAsia" w:hAnsi="Cambria Math" w:cs="Arial"/>
                  <w:sz w:val="26"/>
                  <w:szCs w:val="26"/>
                  <w:lang w:eastAsia="es-AR"/>
                </w:rPr>
                <m:t>ϕ</m:t>
              </m:r>
            </m:e>
            <m:sub>
              <m:r>
                <m:rPr>
                  <m:sty m:val="bi"/>
                </m:rPr>
                <w:rPr>
                  <w:rFonts w:ascii="Cambria Math" w:eastAsiaTheme="minorEastAsia" w:hAnsi="Cambria Math" w:cs="Arial"/>
                  <w:sz w:val="26"/>
                  <w:szCs w:val="26"/>
                  <w:lang w:eastAsia="es-AR"/>
                </w:rPr>
                <m:t>1</m:t>
              </m:r>
            </m:sub>
          </m:sSub>
          <m:r>
            <m:rPr>
              <m:sty m:val="bi"/>
            </m:rPr>
            <w:rPr>
              <w:rFonts w:ascii="Cambria Math" w:eastAsiaTheme="minorEastAsia" w:hAnsi="Cambria Math" w:cs="Arial"/>
              <w:sz w:val="26"/>
              <w:szCs w:val="26"/>
              <w:lang w:eastAsia="es-AR"/>
            </w:rPr>
            <m:t xml:space="preserve"> </m:t>
          </m:r>
          <m:sSup>
            <m:sSupPr>
              <m:ctrlPr>
                <w:rPr>
                  <w:rFonts w:ascii="Cambria Math" w:eastAsiaTheme="minorEastAsia" w:hAnsi="Cambria Math" w:cs="Arial"/>
                  <w:b/>
                  <w:i/>
                  <w:sz w:val="26"/>
                  <w:szCs w:val="26"/>
                  <w:lang w:eastAsia="es-AR"/>
                </w:rPr>
              </m:ctrlPr>
            </m:sSupPr>
            <m:e>
              <m:sSub>
                <m:sSubPr>
                  <m:ctrlPr>
                    <w:rPr>
                      <w:rFonts w:ascii="Cambria Math" w:eastAsiaTheme="minorEastAsia" w:hAnsi="Cambria Math" w:cs="Arial"/>
                      <w:b/>
                      <w:i/>
                      <w:sz w:val="26"/>
                      <w:szCs w:val="26"/>
                      <w:lang w:eastAsia="es-AR"/>
                    </w:rPr>
                  </m:ctrlPr>
                </m:sSubPr>
                <m:e>
                  <m:r>
                    <m:rPr>
                      <m:sty m:val="bi"/>
                    </m:rPr>
                    <w:rPr>
                      <w:rFonts w:ascii="Cambria Math" w:eastAsiaTheme="minorEastAsia" w:hAnsi="Cambria Math" w:cs="Arial"/>
                      <w:sz w:val="26"/>
                      <w:szCs w:val="26"/>
                      <w:lang w:eastAsia="es-AR"/>
                    </w:rPr>
                    <m:t>MT</m:t>
                  </m:r>
                </m:e>
                <m:sub>
                  <m:r>
                    <m:rPr>
                      <m:sty m:val="bi"/>
                    </m:rPr>
                    <w:rPr>
                      <w:rFonts w:ascii="Cambria Math" w:eastAsiaTheme="minorEastAsia" w:hAnsi="Cambria Math" w:cs="Arial"/>
                      <w:sz w:val="26"/>
                      <w:szCs w:val="26"/>
                      <w:lang w:eastAsia="es-AR"/>
                    </w:rPr>
                    <m:t>t-1</m:t>
                  </m:r>
                </m:sub>
              </m:sSub>
            </m:e>
            <m:sup>
              <m:r>
                <m:rPr>
                  <m:sty m:val="bi"/>
                </m:rPr>
                <w:rPr>
                  <w:rFonts w:ascii="Cambria Math" w:eastAsiaTheme="minorEastAsia" w:hAnsi="Cambria Math" w:cs="Arial"/>
                  <w:sz w:val="26"/>
                  <w:szCs w:val="26"/>
                  <w:lang w:eastAsia="es-AR"/>
                </w:rPr>
                <m:t>*</m:t>
              </m:r>
            </m:sup>
          </m:sSup>
          <m:r>
            <m:rPr>
              <m:sty m:val="bi"/>
            </m:rPr>
            <w:rPr>
              <w:rFonts w:ascii="Cambria Math" w:eastAsiaTheme="minorEastAsia" w:hAnsi="Cambria Math" w:cs="Arial"/>
              <w:sz w:val="26"/>
              <w:szCs w:val="26"/>
              <w:lang w:eastAsia="es-AR"/>
            </w:rPr>
            <m:t>-</m:t>
          </m:r>
          <m:sSub>
            <m:sSubPr>
              <m:ctrlPr>
                <w:rPr>
                  <w:rFonts w:ascii="Cambria Math" w:eastAsiaTheme="minorEastAsia" w:hAnsi="Cambria Math" w:cs="Arial"/>
                  <w:b/>
                  <w:i/>
                  <w:sz w:val="26"/>
                  <w:szCs w:val="26"/>
                  <w:lang w:eastAsia="es-AR"/>
                </w:rPr>
              </m:ctrlPr>
            </m:sSubPr>
            <m:e>
              <m:sSub>
                <m:sSubPr>
                  <m:ctrlPr>
                    <w:rPr>
                      <w:rFonts w:ascii="Cambria Math" w:eastAsiaTheme="minorEastAsia" w:hAnsi="Cambria Math" w:cs="Arial"/>
                      <w:b/>
                      <w:i/>
                      <w:sz w:val="26"/>
                      <w:szCs w:val="26"/>
                      <w:lang w:eastAsia="es-AR"/>
                    </w:rPr>
                  </m:ctrlPr>
                </m:sSubPr>
                <m:e>
                  <m:r>
                    <m:rPr>
                      <m:sty m:val="bi"/>
                    </m:rPr>
                    <w:rPr>
                      <w:rFonts w:ascii="Cambria Math" w:eastAsiaTheme="minorEastAsia" w:hAnsi="Cambria Math" w:cs="Arial"/>
                      <w:sz w:val="26"/>
                      <w:szCs w:val="26"/>
                      <w:lang w:eastAsia="es-AR"/>
                    </w:rPr>
                    <m:t>θ</m:t>
                  </m:r>
                </m:e>
                <m:sub>
                  <m:r>
                    <m:rPr>
                      <m:sty m:val="bi"/>
                    </m:rPr>
                    <w:rPr>
                      <w:rFonts w:ascii="Cambria Math" w:eastAsiaTheme="minorEastAsia" w:hAnsi="Cambria Math" w:cs="Arial"/>
                      <w:sz w:val="26"/>
                      <w:szCs w:val="26"/>
                      <w:lang w:eastAsia="es-AR"/>
                    </w:rPr>
                    <m:t>4</m:t>
                  </m:r>
                </m:sub>
              </m:sSub>
              <m:r>
                <m:rPr>
                  <m:sty m:val="bi"/>
                </m:rPr>
                <w:rPr>
                  <w:rFonts w:ascii="Cambria Math" w:eastAsiaTheme="minorEastAsia" w:hAnsi="Cambria Math" w:cs="Arial"/>
                  <w:sz w:val="26"/>
                  <w:szCs w:val="26"/>
                  <w:lang w:eastAsia="es-AR"/>
                </w:rPr>
                <m:t>u</m:t>
              </m:r>
            </m:e>
            <m:sub>
              <m:r>
                <m:rPr>
                  <m:sty m:val="bi"/>
                </m:rPr>
                <w:rPr>
                  <w:rFonts w:ascii="Cambria Math" w:eastAsiaTheme="minorEastAsia" w:hAnsi="Cambria Math" w:cs="Arial"/>
                  <w:sz w:val="26"/>
                  <w:szCs w:val="26"/>
                  <w:lang w:eastAsia="es-AR"/>
                </w:rPr>
                <m:t>t-4</m:t>
              </m:r>
            </m:sub>
          </m:sSub>
          <m:r>
            <m:rPr>
              <m:sty m:val="bi"/>
            </m:rPr>
            <w:rPr>
              <w:rFonts w:ascii="Cambria Math" w:eastAsiaTheme="minorEastAsia" w:hAnsi="Cambria Math" w:cs="Arial"/>
              <w:sz w:val="26"/>
              <w:szCs w:val="26"/>
              <w:lang w:eastAsia="es-AR"/>
            </w:rPr>
            <m:t>-</m:t>
          </m:r>
          <m:sSub>
            <m:sSubPr>
              <m:ctrlPr>
                <w:rPr>
                  <w:rFonts w:ascii="Cambria Math" w:eastAsiaTheme="minorEastAsia" w:hAnsi="Cambria Math" w:cs="Arial"/>
                  <w:b/>
                  <w:i/>
                  <w:sz w:val="26"/>
                  <w:szCs w:val="26"/>
                  <w:lang w:eastAsia="es-AR"/>
                </w:rPr>
              </m:ctrlPr>
            </m:sSubPr>
            <m:e>
              <m:sSub>
                <m:sSubPr>
                  <m:ctrlPr>
                    <w:rPr>
                      <w:rFonts w:ascii="Cambria Math" w:eastAsiaTheme="minorEastAsia" w:hAnsi="Cambria Math" w:cs="Arial"/>
                      <w:b/>
                      <w:i/>
                      <w:sz w:val="26"/>
                      <w:szCs w:val="26"/>
                      <w:lang w:eastAsia="es-AR"/>
                    </w:rPr>
                  </m:ctrlPr>
                </m:sSubPr>
                <m:e>
                  <m:r>
                    <m:rPr>
                      <m:sty m:val="bi"/>
                    </m:rPr>
                    <w:rPr>
                      <w:rFonts w:ascii="Cambria Math" w:eastAsiaTheme="minorEastAsia" w:hAnsi="Cambria Math" w:cs="Arial"/>
                      <w:sz w:val="26"/>
                      <w:szCs w:val="26"/>
                      <w:lang w:eastAsia="es-AR"/>
                    </w:rPr>
                    <m:t>θ</m:t>
                  </m:r>
                </m:e>
                <m:sub>
                  <m:r>
                    <m:rPr>
                      <m:sty m:val="bi"/>
                    </m:rPr>
                    <w:rPr>
                      <w:rFonts w:ascii="Cambria Math" w:eastAsiaTheme="minorEastAsia" w:hAnsi="Cambria Math" w:cs="Arial"/>
                      <w:sz w:val="26"/>
                      <w:szCs w:val="26"/>
                      <w:lang w:eastAsia="es-AR"/>
                    </w:rPr>
                    <m:t>5</m:t>
                  </m:r>
                </m:sub>
              </m:sSub>
              <m:r>
                <m:rPr>
                  <m:sty m:val="bi"/>
                </m:rPr>
                <w:rPr>
                  <w:rFonts w:ascii="Cambria Math" w:eastAsiaTheme="minorEastAsia" w:hAnsi="Cambria Math" w:cs="Arial"/>
                  <w:sz w:val="26"/>
                  <w:szCs w:val="26"/>
                  <w:lang w:eastAsia="es-AR"/>
                </w:rPr>
                <m:t>u</m:t>
              </m:r>
            </m:e>
            <m:sub>
              <m:r>
                <m:rPr>
                  <m:sty m:val="bi"/>
                </m:rPr>
                <w:rPr>
                  <w:rFonts w:ascii="Cambria Math" w:eastAsiaTheme="minorEastAsia" w:hAnsi="Cambria Math" w:cs="Arial"/>
                  <w:sz w:val="26"/>
                  <w:szCs w:val="26"/>
                  <w:lang w:eastAsia="es-AR"/>
                </w:rPr>
                <m:t>t-5</m:t>
              </m:r>
            </m:sub>
          </m:sSub>
          <m:r>
            <m:rPr>
              <m:sty m:val="bi"/>
            </m:rPr>
            <w:rPr>
              <w:rFonts w:ascii="Cambria Math" w:eastAsiaTheme="minorEastAsia" w:hAnsi="Cambria Math" w:cs="Arial"/>
              <w:sz w:val="26"/>
              <w:szCs w:val="26"/>
              <w:lang w:eastAsia="es-AR"/>
            </w:rPr>
            <m:t>+</m:t>
          </m:r>
          <m:sSub>
            <m:sSubPr>
              <m:ctrlPr>
                <w:rPr>
                  <w:rFonts w:ascii="Cambria Math" w:eastAsiaTheme="minorEastAsia" w:hAnsi="Cambria Math" w:cs="Arial"/>
                  <w:b/>
                  <w:i/>
                  <w:sz w:val="26"/>
                  <w:szCs w:val="26"/>
                  <w:lang w:eastAsia="es-AR"/>
                </w:rPr>
              </m:ctrlPr>
            </m:sSubPr>
            <m:e>
              <m:r>
                <m:rPr>
                  <m:sty m:val="bi"/>
                </m:rPr>
                <w:rPr>
                  <w:rFonts w:ascii="Cambria Math" w:eastAsiaTheme="minorEastAsia" w:hAnsi="Cambria Math" w:cs="Arial"/>
                  <w:sz w:val="26"/>
                  <w:szCs w:val="26"/>
                  <w:lang w:eastAsia="es-AR"/>
                </w:rPr>
                <m:t>u</m:t>
              </m:r>
            </m:e>
            <m:sub>
              <m:r>
                <m:rPr>
                  <m:sty m:val="bi"/>
                </m:rPr>
                <w:rPr>
                  <w:rFonts w:ascii="Cambria Math" w:eastAsiaTheme="minorEastAsia" w:hAnsi="Cambria Math" w:cs="Arial"/>
                  <w:sz w:val="26"/>
                  <w:szCs w:val="26"/>
                  <w:lang w:eastAsia="es-AR"/>
                </w:rPr>
                <m:t>t</m:t>
              </m:r>
            </m:sub>
          </m:sSub>
          <m:r>
            <m:rPr>
              <m:sty m:val="bi"/>
            </m:rPr>
            <w:rPr>
              <w:rFonts w:ascii="Cambria Math" w:eastAsiaTheme="minorEastAsia" w:hAnsi="Cambria Math" w:cs="Arial"/>
              <w:sz w:val="26"/>
              <w:szCs w:val="26"/>
              <w:lang w:eastAsia="es-AR"/>
            </w:rPr>
            <m:t xml:space="preserve"> </m:t>
          </m:r>
        </m:oMath>
      </m:oMathPara>
    </w:p>
    <w:p w:rsidR="00833434" w:rsidRPr="00B42455" w:rsidRDefault="009509E1" w:rsidP="005F1E1C">
      <w:pPr>
        <w:jc w:val="both"/>
        <w:rPr>
          <w:sz w:val="24"/>
          <w:szCs w:val="24"/>
        </w:rPr>
      </w:pPr>
      <w:r w:rsidRPr="00B42455">
        <w:rPr>
          <w:sz w:val="24"/>
          <w:szCs w:val="24"/>
        </w:rPr>
        <w:t>Los resultados de la</w:t>
      </w:r>
      <w:r w:rsidR="00833434" w:rsidRPr="00B42455">
        <w:rPr>
          <w:sz w:val="24"/>
          <w:szCs w:val="24"/>
        </w:rPr>
        <w:t xml:space="preserve"> </w:t>
      </w:r>
      <w:r w:rsidRPr="00B42455">
        <w:rPr>
          <w:sz w:val="24"/>
          <w:szCs w:val="24"/>
        </w:rPr>
        <w:t xml:space="preserve">estimación </w:t>
      </w:r>
      <w:r w:rsidR="00833434" w:rsidRPr="00B42455">
        <w:rPr>
          <w:sz w:val="24"/>
          <w:szCs w:val="24"/>
        </w:rPr>
        <w:t>se presenta</w:t>
      </w:r>
      <w:r w:rsidRPr="00B42455">
        <w:rPr>
          <w:sz w:val="24"/>
          <w:szCs w:val="24"/>
        </w:rPr>
        <w:t>n</w:t>
      </w:r>
      <w:r w:rsidR="00833434" w:rsidRPr="00B42455">
        <w:rPr>
          <w:sz w:val="24"/>
          <w:szCs w:val="24"/>
        </w:rPr>
        <w:t xml:space="preserve"> a continuación:</w:t>
      </w:r>
    </w:p>
    <w:p w:rsidR="00833434" w:rsidRPr="00B42455" w:rsidRDefault="00833434" w:rsidP="005F1E1C">
      <w:pPr>
        <w:jc w:val="center"/>
        <w:rPr>
          <w:sz w:val="24"/>
          <w:szCs w:val="24"/>
        </w:rPr>
      </w:pPr>
      <w:r w:rsidRPr="00B42455">
        <w:rPr>
          <w:noProof/>
          <w:sz w:val="24"/>
          <w:szCs w:val="24"/>
          <w:lang w:val="es-ES" w:eastAsia="es-ES"/>
        </w:rPr>
        <w:drawing>
          <wp:inline distT="0" distB="0" distL="0" distR="0" wp14:anchorId="58200FDE" wp14:editId="610DA185">
            <wp:extent cx="3490259" cy="3781425"/>
            <wp:effectExtent l="19050" t="19050" r="1524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10687" cy="3803557"/>
                    </a:xfrm>
                    <a:prstGeom prst="rect">
                      <a:avLst/>
                    </a:prstGeom>
                    <a:noFill/>
                    <a:ln>
                      <a:solidFill>
                        <a:schemeClr val="accent1"/>
                      </a:solidFill>
                    </a:ln>
                  </pic:spPr>
                </pic:pic>
              </a:graphicData>
            </a:graphic>
          </wp:inline>
        </w:drawing>
      </w:r>
    </w:p>
    <w:p w:rsidR="00833434" w:rsidRPr="00B42455" w:rsidRDefault="009509E1" w:rsidP="005F1E1C">
      <w:pPr>
        <w:jc w:val="both"/>
        <w:rPr>
          <w:sz w:val="24"/>
          <w:szCs w:val="24"/>
        </w:rPr>
      </w:pPr>
      <w:r w:rsidRPr="00B42455">
        <w:rPr>
          <w:sz w:val="24"/>
          <w:szCs w:val="24"/>
        </w:rPr>
        <w:lastRenderedPageBreak/>
        <w:t>C</w:t>
      </w:r>
      <w:r w:rsidR="00833434" w:rsidRPr="00B42455">
        <w:rPr>
          <w:sz w:val="24"/>
          <w:szCs w:val="24"/>
        </w:rPr>
        <w:t>omo puede apreciarse a continuación, dichos residuos no presentaron una distribución normal, aunque</w:t>
      </w:r>
      <w:r w:rsidRPr="00B42455">
        <w:rPr>
          <w:sz w:val="24"/>
          <w:szCs w:val="24"/>
        </w:rPr>
        <w:t xml:space="preserve"> </w:t>
      </w:r>
      <w:r w:rsidR="00D97D50">
        <w:rPr>
          <w:sz w:val="24"/>
          <w:szCs w:val="24"/>
        </w:rPr>
        <w:t>sí comportamiento de tipo “</w:t>
      </w:r>
      <w:r w:rsidR="00D97D50" w:rsidRPr="00D97D50">
        <w:rPr>
          <w:i/>
          <w:sz w:val="24"/>
          <w:szCs w:val="24"/>
        </w:rPr>
        <w:t>Ruido B</w:t>
      </w:r>
      <w:r w:rsidR="00833434" w:rsidRPr="00D97D50">
        <w:rPr>
          <w:i/>
          <w:sz w:val="24"/>
          <w:szCs w:val="24"/>
        </w:rPr>
        <w:t>lanco</w:t>
      </w:r>
      <w:r w:rsidR="00D97D50">
        <w:rPr>
          <w:i/>
          <w:sz w:val="24"/>
          <w:szCs w:val="24"/>
        </w:rPr>
        <w:t>”</w:t>
      </w:r>
      <w:r w:rsidR="00833434" w:rsidRPr="00B42455">
        <w:rPr>
          <w:sz w:val="24"/>
          <w:szCs w:val="24"/>
        </w:rPr>
        <w:t xml:space="preserve"> </w:t>
      </w:r>
      <w:r w:rsidR="004D5D2A" w:rsidRPr="00D97D50">
        <w:rPr>
          <w:b/>
          <w:sz w:val="24"/>
          <w:szCs w:val="24"/>
        </w:rPr>
        <w:t>(E(ut)=0, Var(ut) constante, Cov(ut; ut-j) =0)</w:t>
      </w:r>
      <w:r w:rsidR="004D5D2A" w:rsidRPr="00B42455">
        <w:rPr>
          <w:sz w:val="24"/>
          <w:szCs w:val="24"/>
        </w:rPr>
        <w:t xml:space="preserve"> </w:t>
      </w:r>
      <w:r w:rsidR="00833434" w:rsidRPr="00B42455">
        <w:rPr>
          <w:sz w:val="24"/>
          <w:szCs w:val="24"/>
        </w:rPr>
        <w:t>como se requiere para la validación de un modelo en el marco de la metodología econométrica.</w:t>
      </w:r>
    </w:p>
    <w:p w:rsidR="00833434" w:rsidRPr="00D97D50" w:rsidRDefault="00833434" w:rsidP="005F1E1C">
      <w:pPr>
        <w:jc w:val="center"/>
        <w:rPr>
          <w:b/>
          <w:i/>
          <w:sz w:val="24"/>
          <w:szCs w:val="24"/>
          <w:u w:val="single"/>
        </w:rPr>
      </w:pPr>
      <w:r w:rsidRPr="00D97D50">
        <w:rPr>
          <w:b/>
          <w:i/>
          <w:sz w:val="24"/>
          <w:szCs w:val="24"/>
          <w:u w:val="single"/>
        </w:rPr>
        <w:t>Ja</w:t>
      </w:r>
      <w:r w:rsidR="0004424B" w:rsidRPr="00D97D50">
        <w:rPr>
          <w:b/>
          <w:i/>
          <w:sz w:val="24"/>
          <w:szCs w:val="24"/>
          <w:u w:val="single"/>
        </w:rPr>
        <w:t>r</w:t>
      </w:r>
      <w:r w:rsidRPr="00D97D50">
        <w:rPr>
          <w:b/>
          <w:i/>
          <w:sz w:val="24"/>
          <w:szCs w:val="24"/>
          <w:u w:val="single"/>
        </w:rPr>
        <w:t>que-Bera</w:t>
      </w:r>
    </w:p>
    <w:p w:rsidR="00833434" w:rsidRPr="00B42455" w:rsidRDefault="00833434" w:rsidP="005F1E1C">
      <w:pPr>
        <w:jc w:val="center"/>
        <w:rPr>
          <w:sz w:val="24"/>
          <w:szCs w:val="24"/>
        </w:rPr>
      </w:pPr>
      <w:r w:rsidRPr="00B42455">
        <w:rPr>
          <w:noProof/>
          <w:sz w:val="24"/>
          <w:szCs w:val="24"/>
          <w:lang w:val="es-ES" w:eastAsia="es-ES"/>
        </w:rPr>
        <w:drawing>
          <wp:inline distT="0" distB="0" distL="0" distR="0" wp14:anchorId="62FA5E68" wp14:editId="3A04959F">
            <wp:extent cx="4257386" cy="1952625"/>
            <wp:effectExtent l="19050" t="19050" r="1016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75292" cy="1960838"/>
                    </a:xfrm>
                    <a:prstGeom prst="rect">
                      <a:avLst/>
                    </a:prstGeom>
                    <a:noFill/>
                    <a:ln>
                      <a:solidFill>
                        <a:schemeClr val="accent1"/>
                      </a:solidFill>
                    </a:ln>
                  </pic:spPr>
                </pic:pic>
              </a:graphicData>
            </a:graphic>
          </wp:inline>
        </w:drawing>
      </w:r>
    </w:p>
    <w:p w:rsidR="000B775B" w:rsidRPr="00D97D50" w:rsidRDefault="00833434" w:rsidP="005F1E1C">
      <w:pPr>
        <w:jc w:val="center"/>
        <w:rPr>
          <w:b/>
          <w:i/>
          <w:sz w:val="24"/>
          <w:szCs w:val="24"/>
          <w:u w:val="single"/>
        </w:rPr>
      </w:pPr>
      <w:r w:rsidRPr="00D97D50">
        <w:rPr>
          <w:b/>
          <w:i/>
          <w:sz w:val="24"/>
          <w:szCs w:val="24"/>
          <w:u w:val="single"/>
        </w:rPr>
        <w:t>Correlograma de los residuos</w:t>
      </w:r>
      <w:r w:rsidR="000B775B" w:rsidRPr="00D97D50">
        <w:rPr>
          <w:b/>
          <w:i/>
          <w:sz w:val="24"/>
          <w:szCs w:val="24"/>
          <w:u w:val="single"/>
        </w:rPr>
        <w:t xml:space="preserve"> - Test Q de Box-Pierce o Ljung &amp; Box</w:t>
      </w:r>
    </w:p>
    <w:p w:rsidR="00833434" w:rsidRPr="00B42455" w:rsidRDefault="00833434" w:rsidP="005F1E1C">
      <w:pPr>
        <w:jc w:val="center"/>
        <w:rPr>
          <w:sz w:val="24"/>
          <w:szCs w:val="24"/>
        </w:rPr>
      </w:pPr>
      <w:r w:rsidRPr="00B42455">
        <w:rPr>
          <w:noProof/>
          <w:sz w:val="24"/>
          <w:szCs w:val="24"/>
          <w:lang w:val="es-ES" w:eastAsia="es-ES"/>
        </w:rPr>
        <w:drawing>
          <wp:inline distT="0" distB="0" distL="0" distR="0" wp14:anchorId="5CECC66F" wp14:editId="028569B8">
            <wp:extent cx="4014859" cy="4029075"/>
            <wp:effectExtent l="19050" t="19050" r="2413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27838" cy="4042100"/>
                    </a:xfrm>
                    <a:prstGeom prst="rect">
                      <a:avLst/>
                    </a:prstGeom>
                    <a:noFill/>
                    <a:ln>
                      <a:solidFill>
                        <a:schemeClr val="accent1"/>
                      </a:solidFill>
                    </a:ln>
                  </pic:spPr>
                </pic:pic>
              </a:graphicData>
            </a:graphic>
          </wp:inline>
        </w:drawing>
      </w:r>
    </w:p>
    <w:p w:rsidR="00833434" w:rsidRPr="00B42455" w:rsidRDefault="009509E1" w:rsidP="005F1E1C">
      <w:pPr>
        <w:jc w:val="both"/>
        <w:rPr>
          <w:sz w:val="24"/>
          <w:szCs w:val="24"/>
        </w:rPr>
      </w:pPr>
      <w:r w:rsidRPr="00B42455">
        <w:rPr>
          <w:sz w:val="24"/>
          <w:szCs w:val="24"/>
        </w:rPr>
        <w:lastRenderedPageBreak/>
        <w:t>A partir de los resultados obtenidos se analizaron los residuos del modelo y se consideró incorporar otros componentes autorregresivos y de medias móviles. Para corregir el problema de normalidad que se presentó también se incluyeron</w:t>
      </w:r>
      <w:r w:rsidR="00833434" w:rsidRPr="00B42455">
        <w:rPr>
          <w:sz w:val="24"/>
          <w:szCs w:val="24"/>
        </w:rPr>
        <w:t xml:space="preserve"> variables dicotómicas estacionales para captar efectos regulares asociados a ciertos momentos del año; y </w:t>
      </w:r>
      <w:r w:rsidRPr="00B42455">
        <w:rPr>
          <w:sz w:val="24"/>
          <w:szCs w:val="24"/>
        </w:rPr>
        <w:t>v</w:t>
      </w:r>
      <w:r w:rsidR="00833434" w:rsidRPr="00B42455">
        <w:rPr>
          <w:sz w:val="24"/>
          <w:szCs w:val="24"/>
        </w:rPr>
        <w:t>ariables dicotómicas puntuales para eliminar los efectos de los datos de tipo “outlier”.</w:t>
      </w:r>
    </w:p>
    <w:p w:rsidR="00833434" w:rsidRPr="00B42455" w:rsidRDefault="00833434" w:rsidP="005F1E1C">
      <w:pPr>
        <w:jc w:val="both"/>
        <w:rPr>
          <w:sz w:val="24"/>
          <w:szCs w:val="24"/>
        </w:rPr>
      </w:pPr>
      <w:r w:rsidRPr="00B42455">
        <w:rPr>
          <w:sz w:val="24"/>
          <w:szCs w:val="24"/>
        </w:rPr>
        <w:t xml:space="preserve">En este procedimiento se propusieron </w:t>
      </w:r>
      <w:r w:rsidR="009509E1" w:rsidRPr="00B42455">
        <w:rPr>
          <w:sz w:val="24"/>
          <w:szCs w:val="24"/>
        </w:rPr>
        <w:t>dos nuevas</w:t>
      </w:r>
      <w:r w:rsidRPr="00B42455">
        <w:rPr>
          <w:sz w:val="24"/>
          <w:szCs w:val="24"/>
        </w:rPr>
        <w:t xml:space="preserve"> especifi</w:t>
      </w:r>
      <w:r w:rsidR="009509E1" w:rsidRPr="00B42455">
        <w:rPr>
          <w:sz w:val="24"/>
          <w:szCs w:val="24"/>
        </w:rPr>
        <w:t>caciones</w:t>
      </w:r>
      <w:r w:rsidRPr="00B42455">
        <w:rPr>
          <w:sz w:val="24"/>
          <w:szCs w:val="24"/>
        </w:rPr>
        <w:t xml:space="preserve">. </w:t>
      </w:r>
      <w:r w:rsidR="00AA033E" w:rsidRPr="00B42455">
        <w:rPr>
          <w:sz w:val="24"/>
          <w:szCs w:val="24"/>
        </w:rPr>
        <w:t>A continuación se presenta la primera:</w:t>
      </w:r>
    </w:p>
    <w:p w:rsidR="00455450" w:rsidRPr="00D97D50" w:rsidRDefault="00AB0E14" w:rsidP="005F1E1C">
      <w:pPr>
        <w:spacing w:after="0"/>
        <w:jc w:val="center"/>
        <w:rPr>
          <w:rFonts w:cs="Arial"/>
          <w:b/>
          <w:sz w:val="24"/>
          <w:szCs w:val="24"/>
          <w:lang w:eastAsia="es-AR"/>
        </w:rPr>
      </w:pPr>
      <m:oMathPara>
        <m:oMathParaPr>
          <m:jc m:val="center"/>
        </m:oMathParaPr>
        <m:oMath>
          <m:sSup>
            <m:sSupPr>
              <m:ctrlPr>
                <w:rPr>
                  <w:rFonts w:ascii="Cambria Math" w:eastAsiaTheme="minorEastAsia" w:hAnsi="Cambria Math" w:cs="Arial"/>
                  <w:b/>
                  <w:i/>
                  <w:sz w:val="24"/>
                  <w:szCs w:val="24"/>
                  <w:lang w:eastAsia="es-AR"/>
                </w:rPr>
              </m:ctrlPr>
            </m:sSupPr>
            <m:e>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AFM</m:t>
                  </m:r>
                </m:e>
                <m:sub>
                  <m:r>
                    <m:rPr>
                      <m:sty m:val="bi"/>
                    </m:rPr>
                    <w:rPr>
                      <w:rFonts w:ascii="Cambria Math" w:eastAsiaTheme="minorEastAsia" w:hAnsi="Cambria Math" w:cs="Arial"/>
                      <w:sz w:val="24"/>
                      <w:szCs w:val="24"/>
                      <w:lang w:eastAsia="es-AR"/>
                    </w:rPr>
                    <m:t>t</m:t>
                  </m:r>
                </m:sub>
              </m:sSub>
            </m:e>
            <m:sup>
              <m:r>
                <m:rPr>
                  <m:sty m:val="bi"/>
                </m:rPr>
                <w:rPr>
                  <w:rFonts w:ascii="Cambria Math" w:eastAsiaTheme="minorEastAsia" w:hAnsi="Cambria Math" w:cs="Arial"/>
                  <w:sz w:val="24"/>
                  <w:szCs w:val="24"/>
                  <w:lang w:eastAsia="es-AR"/>
                </w:rPr>
                <m:t>*</m:t>
              </m:r>
            </m:sup>
          </m:sSup>
          <m:r>
            <m:rPr>
              <m:sty m:val="bi"/>
            </m:rPr>
            <w:rPr>
              <w:rFonts w:ascii="Cambria Math" w:eastAsiaTheme="minorEastAsia" w:hAnsi="Cambria Math" w:cs="Arial"/>
              <w:sz w:val="24"/>
              <w:szCs w:val="24"/>
              <w:lang w:eastAsia="es-AR"/>
            </w:rPr>
            <m:t xml:space="preserve">= </m:t>
          </m:r>
          <m:sSup>
            <m:sSupPr>
              <m:ctrlPr>
                <w:rPr>
                  <w:rFonts w:ascii="Cambria Math" w:eastAsiaTheme="minorEastAsia" w:hAnsi="Cambria Math" w:cs="Arial"/>
                  <w:b/>
                  <w:i/>
                  <w:sz w:val="24"/>
                  <w:szCs w:val="24"/>
                  <w:lang w:eastAsia="es-AR"/>
                </w:rPr>
              </m:ctrlPr>
            </m:sSupPr>
            <m:e>
              <m:r>
                <m:rPr>
                  <m:sty m:val="bi"/>
                </m:rPr>
                <w:rPr>
                  <w:rFonts w:ascii="Cambria Math" w:eastAsiaTheme="minorEastAsia" w:hAnsi="Cambria Math" w:cs="Arial"/>
                  <w:sz w:val="24"/>
                  <w:szCs w:val="24"/>
                  <w:lang w:eastAsia="es-AR"/>
                </w:rPr>
                <m:t>α</m:t>
              </m:r>
            </m:e>
            <m:sup>
              <m:r>
                <m:rPr>
                  <m:sty m:val="bi"/>
                </m:rPr>
                <w:rPr>
                  <w:rFonts w:ascii="Cambria Math" w:eastAsiaTheme="minorEastAsia" w:hAnsi="Cambria Math" w:cs="Arial"/>
                  <w:sz w:val="24"/>
                  <w:szCs w:val="24"/>
                  <w:lang w:eastAsia="es-AR"/>
                </w:rPr>
                <m:t>*</m:t>
              </m:r>
            </m:sup>
          </m:sSup>
          <m:r>
            <m:rPr>
              <m:sty m:val="bi"/>
            </m:rPr>
            <w:rPr>
              <w:rFonts w:ascii="Cambria Math" w:eastAsiaTheme="minorEastAsia" w:hAnsi="Cambria Math" w:cs="Arial"/>
              <w:sz w:val="24"/>
              <w:szCs w:val="24"/>
              <w:lang w:eastAsia="es-AR"/>
            </w:rPr>
            <m:t xml:space="preserve">+β . </m:t>
          </m:r>
          <m:sSubSup>
            <m:sSubSupPr>
              <m:ctrlPr>
                <w:rPr>
                  <w:rFonts w:ascii="Cambria Math" w:eastAsiaTheme="minorEastAsia" w:hAnsi="Cambria Math" w:cs="Arial"/>
                  <w:b/>
                  <w:i/>
                  <w:sz w:val="24"/>
                  <w:szCs w:val="24"/>
                  <w:lang w:eastAsia="es-AR"/>
                </w:rPr>
              </m:ctrlPr>
            </m:sSubSupPr>
            <m:e>
              <m:r>
                <m:rPr>
                  <m:sty m:val="bi"/>
                </m:rPr>
                <w:rPr>
                  <w:rFonts w:ascii="Cambria Math" w:eastAsiaTheme="minorEastAsia" w:hAnsi="Cambria Math" w:cs="Arial"/>
                  <w:sz w:val="24"/>
                  <w:szCs w:val="24"/>
                  <w:lang w:eastAsia="es-AR"/>
                </w:rPr>
                <m:t>TCN</m:t>
              </m:r>
            </m:e>
            <m:sub>
              <m:r>
                <m:rPr>
                  <m:sty m:val="bi"/>
                </m:rPr>
                <w:rPr>
                  <w:rFonts w:ascii="Cambria Math" w:eastAsiaTheme="minorEastAsia" w:hAnsi="Cambria Math" w:cs="Arial"/>
                  <w:sz w:val="24"/>
                  <w:szCs w:val="24"/>
                  <w:lang w:eastAsia="es-AR"/>
                </w:rPr>
                <m:t>t</m:t>
              </m:r>
            </m:sub>
            <m:sup>
              <m:r>
                <m:rPr>
                  <m:sty m:val="bi"/>
                </m:rPr>
                <w:rPr>
                  <w:rFonts w:ascii="Cambria Math" w:eastAsiaTheme="minorEastAsia" w:hAnsi="Cambria Math" w:cs="Arial"/>
                  <w:sz w:val="24"/>
                  <w:szCs w:val="24"/>
                  <w:lang w:eastAsia="es-AR"/>
                </w:rPr>
                <m:t>*</m:t>
              </m:r>
            </m:sup>
          </m:sSubSup>
          <m:r>
            <m:rPr>
              <m:sty m:val="bi"/>
            </m:rPr>
            <w:rPr>
              <w:rFonts w:ascii="Cambria Math" w:eastAsiaTheme="minorEastAsia" w:hAnsi="Cambria Math" w:cs="Arial"/>
              <w:sz w:val="24"/>
              <w:szCs w:val="24"/>
              <w:lang w:eastAsia="es-AR"/>
            </w:rPr>
            <m:t xml:space="preserve"> + θ . </m:t>
          </m:r>
          <m:sSubSup>
            <m:sSubSupPr>
              <m:ctrlPr>
                <w:rPr>
                  <w:rFonts w:ascii="Cambria Math" w:eastAsiaTheme="minorEastAsia" w:hAnsi="Cambria Math" w:cs="Arial"/>
                  <w:b/>
                  <w:i/>
                  <w:sz w:val="24"/>
                  <w:szCs w:val="24"/>
                  <w:lang w:eastAsia="es-AR"/>
                </w:rPr>
              </m:ctrlPr>
            </m:sSubSupPr>
            <m:e>
              <m:r>
                <m:rPr>
                  <m:sty m:val="bi"/>
                </m:rPr>
                <w:rPr>
                  <w:rFonts w:ascii="Cambria Math" w:eastAsiaTheme="minorEastAsia" w:hAnsi="Cambria Math" w:cs="Arial"/>
                  <w:sz w:val="24"/>
                  <w:szCs w:val="24"/>
                  <w:lang w:eastAsia="es-AR"/>
                </w:rPr>
                <m:t>EMAE</m:t>
              </m:r>
            </m:e>
            <m:sub>
              <m:r>
                <m:rPr>
                  <m:sty m:val="bi"/>
                </m:rPr>
                <w:rPr>
                  <w:rFonts w:ascii="Cambria Math" w:eastAsiaTheme="minorEastAsia" w:hAnsi="Cambria Math" w:cs="Arial"/>
                  <w:sz w:val="24"/>
                  <w:szCs w:val="24"/>
                  <w:lang w:eastAsia="es-AR"/>
                </w:rPr>
                <m:t>t</m:t>
              </m:r>
            </m:sub>
            <m:sup>
              <m:r>
                <m:rPr>
                  <m:sty m:val="bi"/>
                </m:rPr>
                <w:rPr>
                  <w:rFonts w:ascii="Cambria Math" w:eastAsiaTheme="minorEastAsia" w:hAnsi="Cambria Math" w:cs="Arial"/>
                  <w:sz w:val="24"/>
                  <w:szCs w:val="24"/>
                  <w:lang w:eastAsia="es-AR"/>
                </w:rPr>
                <m:t>*</m:t>
              </m:r>
            </m:sup>
          </m:sSubSup>
          <m:r>
            <m:rPr>
              <m:sty m:val="bi"/>
            </m:rPr>
            <w:rPr>
              <w:rFonts w:ascii="Cambria Math" w:eastAsiaTheme="minorEastAsia" w:hAnsi="Cambria Math" w:cs="Arial"/>
              <w:sz w:val="24"/>
              <w:szCs w:val="24"/>
              <w:lang w:eastAsia="es-AR"/>
            </w:rPr>
            <m:t xml:space="preserve"> + </m:t>
          </m:r>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Ω</m:t>
              </m:r>
            </m:e>
            <m:sub>
              <m:r>
                <m:rPr>
                  <m:sty m:val="bi"/>
                </m:rPr>
                <w:rPr>
                  <w:rFonts w:ascii="Cambria Math" w:eastAsiaTheme="minorEastAsia" w:hAnsi="Cambria Math" w:cs="Arial"/>
                  <w:sz w:val="24"/>
                  <w:szCs w:val="24"/>
                  <w:lang w:eastAsia="es-AR"/>
                </w:rPr>
                <m:t>1</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hAnsi="Cambria Math" w:cs="Arial"/>
                  <w:sz w:val="24"/>
                  <w:szCs w:val="24"/>
                </w:rPr>
                <m:t>Dp</m:t>
              </m:r>
            </m:e>
            <m:sub>
              <m:r>
                <m:rPr>
                  <m:sty m:val="bi"/>
                </m:rPr>
                <w:rPr>
                  <w:rFonts w:ascii="Cambria Math" w:eastAsiaTheme="minorEastAsia" w:hAnsi="Cambria Math" w:cs="Arial"/>
                  <w:sz w:val="24"/>
                  <w:szCs w:val="24"/>
                  <w:lang w:eastAsia="es-AR"/>
                </w:rPr>
                <m:t>1</m:t>
              </m:r>
              <m:r>
                <m:rPr>
                  <m:sty m:val="bi"/>
                </m:rPr>
                <w:rPr>
                  <w:rFonts w:ascii="Cambria Math" w:eastAsiaTheme="minorEastAsia" w:hAnsi="Cambria Math" w:cs="Arial"/>
                  <w:sz w:val="24"/>
                  <w:szCs w:val="24"/>
                  <w:lang w:eastAsia="es-AR"/>
                </w:rPr>
                <m:t>t</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Ω</m:t>
              </m:r>
            </m:e>
            <m:sub>
              <m:r>
                <m:rPr>
                  <m:sty m:val="bi"/>
                </m:rPr>
                <w:rPr>
                  <w:rFonts w:ascii="Cambria Math" w:eastAsiaTheme="minorEastAsia" w:hAnsi="Cambria Math" w:cs="Arial"/>
                  <w:sz w:val="24"/>
                  <w:szCs w:val="24"/>
                  <w:lang w:eastAsia="es-AR"/>
                </w:rPr>
                <m:t>2</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hAnsi="Cambria Math" w:cs="Arial"/>
                  <w:sz w:val="24"/>
                  <w:szCs w:val="24"/>
                </w:rPr>
                <m:t>Dp</m:t>
              </m:r>
            </m:e>
            <m:sub>
              <m:r>
                <m:rPr>
                  <m:sty m:val="bi"/>
                </m:rPr>
                <w:rPr>
                  <w:rFonts w:ascii="Cambria Math" w:eastAsiaTheme="minorEastAsia" w:hAnsi="Cambria Math" w:cs="Arial"/>
                  <w:sz w:val="24"/>
                  <w:szCs w:val="24"/>
                  <w:lang w:eastAsia="es-AR"/>
                </w:rPr>
                <m:t>2</m:t>
              </m:r>
              <m:r>
                <m:rPr>
                  <m:sty m:val="bi"/>
                </m:rPr>
                <w:rPr>
                  <w:rFonts w:ascii="Cambria Math" w:eastAsiaTheme="minorEastAsia" w:hAnsi="Cambria Math" w:cs="Arial"/>
                  <w:sz w:val="24"/>
                  <w:szCs w:val="24"/>
                  <w:lang w:eastAsia="es-AR"/>
                </w:rPr>
                <m:t>t</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π</m:t>
              </m:r>
            </m:e>
            <m:sub>
              <m:r>
                <m:rPr>
                  <m:sty m:val="bi"/>
                </m:rPr>
                <w:rPr>
                  <w:rFonts w:ascii="Cambria Math" w:eastAsiaTheme="minorEastAsia" w:hAnsi="Cambria Math" w:cs="Arial"/>
                  <w:sz w:val="24"/>
                  <w:szCs w:val="24"/>
                  <w:lang w:eastAsia="es-AR"/>
                </w:rPr>
                <m:t>3</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hAnsi="Cambria Math" w:cs="Arial"/>
                  <w:sz w:val="24"/>
                  <w:szCs w:val="24"/>
                </w:rPr>
                <m:t>De</m:t>
              </m:r>
            </m:e>
            <m:sub>
              <m:r>
                <m:rPr>
                  <m:sty m:val="bi"/>
                </m:rPr>
                <w:rPr>
                  <w:rFonts w:ascii="Cambria Math" w:eastAsiaTheme="minorEastAsia" w:hAnsi="Cambria Math" w:cs="Arial"/>
                  <w:sz w:val="24"/>
                  <w:szCs w:val="24"/>
                  <w:lang w:eastAsia="es-AR"/>
                </w:rPr>
                <m:t>3</m:t>
              </m:r>
              <m:r>
                <m:rPr>
                  <m:sty m:val="bi"/>
                </m:rPr>
                <w:rPr>
                  <w:rFonts w:ascii="Cambria Math" w:eastAsiaTheme="minorEastAsia" w:hAnsi="Cambria Math" w:cs="Arial"/>
                  <w:sz w:val="24"/>
                  <w:szCs w:val="24"/>
                  <w:lang w:eastAsia="es-AR"/>
                </w:rPr>
                <m:t>t</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π</m:t>
              </m:r>
            </m:e>
            <m:sub>
              <m:r>
                <m:rPr>
                  <m:sty m:val="bi"/>
                </m:rPr>
                <w:rPr>
                  <w:rFonts w:ascii="Cambria Math" w:eastAsiaTheme="minorEastAsia" w:hAnsi="Cambria Math" w:cs="Arial"/>
                  <w:sz w:val="24"/>
                  <w:szCs w:val="24"/>
                  <w:lang w:eastAsia="es-AR"/>
                </w:rPr>
                <m:t>11</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hAnsi="Cambria Math" w:cs="Arial"/>
                  <w:sz w:val="24"/>
                  <w:szCs w:val="24"/>
                </w:rPr>
                <m:t>De</m:t>
              </m:r>
            </m:e>
            <m:sub>
              <m:r>
                <m:rPr>
                  <m:sty m:val="bi"/>
                </m:rPr>
                <w:rPr>
                  <w:rFonts w:ascii="Cambria Math" w:eastAsiaTheme="minorEastAsia" w:hAnsi="Cambria Math" w:cs="Arial"/>
                  <w:sz w:val="24"/>
                  <w:szCs w:val="24"/>
                  <w:lang w:eastAsia="es-AR"/>
                </w:rPr>
                <m:t>11</m:t>
              </m:r>
              <m:r>
                <m:rPr>
                  <m:sty m:val="bi"/>
                </m:rPr>
                <w:rPr>
                  <w:rFonts w:ascii="Cambria Math" w:eastAsiaTheme="minorEastAsia" w:hAnsi="Cambria Math" w:cs="Arial"/>
                  <w:sz w:val="24"/>
                  <w:szCs w:val="24"/>
                  <w:lang w:eastAsia="es-AR"/>
                </w:rPr>
                <m:t>t</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ϕ</m:t>
              </m:r>
            </m:e>
            <m:sub>
              <m:r>
                <m:rPr>
                  <m:sty m:val="bi"/>
                </m:rPr>
                <w:rPr>
                  <w:rFonts w:ascii="Cambria Math" w:eastAsiaTheme="minorEastAsia" w:hAnsi="Cambria Math" w:cs="Arial"/>
                  <w:sz w:val="24"/>
                  <w:szCs w:val="24"/>
                  <w:lang w:eastAsia="es-AR"/>
                </w:rPr>
                <m:t>12</m:t>
              </m:r>
            </m:sub>
          </m:sSub>
          <m:r>
            <m:rPr>
              <m:sty m:val="bi"/>
            </m:rPr>
            <w:rPr>
              <w:rFonts w:ascii="Cambria Math" w:eastAsiaTheme="minorEastAsia" w:hAnsi="Cambria Math" w:cs="Arial"/>
              <w:sz w:val="24"/>
              <w:szCs w:val="24"/>
              <w:lang w:eastAsia="es-AR"/>
            </w:rPr>
            <m:t xml:space="preserve"> </m:t>
          </m:r>
          <m:sSup>
            <m:sSupPr>
              <m:ctrlPr>
                <w:rPr>
                  <w:rFonts w:ascii="Cambria Math" w:eastAsiaTheme="minorEastAsia" w:hAnsi="Cambria Math" w:cs="Arial"/>
                  <w:b/>
                  <w:i/>
                  <w:sz w:val="24"/>
                  <w:szCs w:val="24"/>
                  <w:lang w:eastAsia="es-AR"/>
                </w:rPr>
              </m:ctrlPr>
            </m:sSupPr>
            <m:e>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MT</m:t>
                  </m:r>
                </m:e>
                <m:sub>
                  <m:r>
                    <m:rPr>
                      <m:sty m:val="bi"/>
                    </m:rPr>
                    <w:rPr>
                      <w:rFonts w:ascii="Cambria Math" w:eastAsiaTheme="minorEastAsia" w:hAnsi="Cambria Math" w:cs="Arial"/>
                      <w:sz w:val="24"/>
                      <w:szCs w:val="24"/>
                      <w:lang w:eastAsia="es-AR"/>
                    </w:rPr>
                    <m:t>t-12</m:t>
                  </m:r>
                </m:sub>
              </m:sSub>
            </m:e>
            <m:sup>
              <m:r>
                <m:rPr>
                  <m:sty m:val="bi"/>
                </m:rPr>
                <w:rPr>
                  <w:rFonts w:ascii="Cambria Math" w:eastAsiaTheme="minorEastAsia" w:hAnsi="Cambria Math" w:cs="Arial"/>
                  <w:sz w:val="24"/>
                  <w:szCs w:val="24"/>
                  <w:lang w:eastAsia="es-AR"/>
                </w:rPr>
                <m:t>*</m:t>
              </m:r>
            </m:sup>
          </m:sSup>
          <m:r>
            <m:rPr>
              <m:sty m:val="bi"/>
            </m:rPr>
            <w:rPr>
              <w:rFonts w:ascii="Cambria Math" w:eastAsiaTheme="minorEastAsia" w:hAnsi="Cambria Math" w:cs="Arial"/>
              <w:sz w:val="24"/>
              <w:szCs w:val="24"/>
              <w:lang w:eastAsia="es-AR"/>
            </w:rPr>
            <m:t>-</m:t>
          </m:r>
          <m:sSub>
            <m:sSubPr>
              <m:ctrlPr>
                <w:rPr>
                  <w:rFonts w:ascii="Cambria Math" w:eastAsiaTheme="minorEastAsia" w:hAnsi="Cambria Math" w:cs="Arial"/>
                  <w:b/>
                  <w:i/>
                  <w:sz w:val="24"/>
                  <w:szCs w:val="24"/>
                  <w:lang w:eastAsia="es-AR"/>
                </w:rPr>
              </m:ctrlPr>
            </m:sSubPr>
            <m:e>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θ</m:t>
                  </m:r>
                </m:e>
                <m:sub>
                  <m:r>
                    <m:rPr>
                      <m:sty m:val="bi"/>
                    </m:rPr>
                    <w:rPr>
                      <w:rFonts w:ascii="Cambria Math" w:eastAsiaTheme="minorEastAsia" w:hAnsi="Cambria Math" w:cs="Arial"/>
                      <w:sz w:val="24"/>
                      <w:szCs w:val="24"/>
                      <w:lang w:eastAsia="es-AR"/>
                    </w:rPr>
                    <m:t>1</m:t>
                  </m:r>
                </m:sub>
              </m:sSub>
              <m:r>
                <m:rPr>
                  <m:sty m:val="bi"/>
                </m:rPr>
                <w:rPr>
                  <w:rFonts w:ascii="Cambria Math" w:eastAsiaTheme="minorEastAsia" w:hAnsi="Cambria Math" w:cs="Arial"/>
                  <w:sz w:val="24"/>
                  <w:szCs w:val="24"/>
                  <w:lang w:eastAsia="es-AR"/>
                </w:rPr>
                <m:t>u</m:t>
              </m:r>
            </m:e>
            <m:sub>
              <m:r>
                <m:rPr>
                  <m:sty m:val="bi"/>
                </m:rPr>
                <w:rPr>
                  <w:rFonts w:ascii="Cambria Math" w:eastAsiaTheme="minorEastAsia" w:hAnsi="Cambria Math" w:cs="Arial"/>
                  <w:sz w:val="24"/>
                  <w:szCs w:val="24"/>
                  <w:lang w:eastAsia="es-AR"/>
                </w:rPr>
                <m:t>t-1</m:t>
              </m:r>
            </m:sub>
          </m:sSub>
          <m:r>
            <m:rPr>
              <m:sty m:val="bi"/>
            </m:rPr>
            <w:rPr>
              <w:rFonts w:ascii="Cambria Math" w:eastAsiaTheme="minorEastAsia" w:hAnsi="Cambria Math" w:cs="Arial"/>
              <w:sz w:val="24"/>
              <w:szCs w:val="24"/>
              <w:lang w:eastAsia="es-AR"/>
            </w:rPr>
            <m:t>-</m:t>
          </m:r>
          <m:sSub>
            <m:sSubPr>
              <m:ctrlPr>
                <w:rPr>
                  <w:rFonts w:ascii="Cambria Math" w:eastAsiaTheme="minorEastAsia" w:hAnsi="Cambria Math" w:cs="Arial"/>
                  <w:b/>
                  <w:i/>
                  <w:sz w:val="24"/>
                  <w:szCs w:val="24"/>
                  <w:lang w:eastAsia="es-AR"/>
                </w:rPr>
              </m:ctrlPr>
            </m:sSubPr>
            <m:e>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θ</m:t>
                  </m:r>
                </m:e>
                <m:sub>
                  <m:r>
                    <m:rPr>
                      <m:sty m:val="bi"/>
                    </m:rPr>
                    <w:rPr>
                      <w:rFonts w:ascii="Cambria Math" w:eastAsiaTheme="minorEastAsia" w:hAnsi="Cambria Math" w:cs="Arial"/>
                      <w:sz w:val="24"/>
                      <w:szCs w:val="24"/>
                      <w:lang w:eastAsia="es-AR"/>
                    </w:rPr>
                    <m:t>2</m:t>
                  </m:r>
                </m:sub>
              </m:sSub>
              <m:r>
                <m:rPr>
                  <m:sty m:val="bi"/>
                </m:rPr>
                <w:rPr>
                  <w:rFonts w:ascii="Cambria Math" w:eastAsiaTheme="minorEastAsia" w:hAnsi="Cambria Math" w:cs="Arial"/>
                  <w:sz w:val="24"/>
                  <w:szCs w:val="24"/>
                  <w:lang w:eastAsia="es-AR"/>
                </w:rPr>
                <m:t>u</m:t>
              </m:r>
            </m:e>
            <m:sub>
              <m:r>
                <m:rPr>
                  <m:sty m:val="bi"/>
                </m:rPr>
                <w:rPr>
                  <w:rFonts w:ascii="Cambria Math" w:eastAsiaTheme="minorEastAsia" w:hAnsi="Cambria Math" w:cs="Arial"/>
                  <w:sz w:val="24"/>
                  <w:szCs w:val="24"/>
                  <w:lang w:eastAsia="es-AR"/>
                </w:rPr>
                <m:t>t-2</m:t>
              </m:r>
            </m:sub>
          </m:sSub>
          <m:r>
            <m:rPr>
              <m:sty m:val="bi"/>
            </m:rPr>
            <w:rPr>
              <w:rFonts w:ascii="Cambria Math" w:eastAsiaTheme="minorEastAsia" w:hAnsi="Cambria Math" w:cs="Arial"/>
              <w:sz w:val="24"/>
              <w:szCs w:val="24"/>
              <w:lang w:eastAsia="es-AR"/>
            </w:rPr>
            <m:t>-</m:t>
          </m:r>
          <m:sSub>
            <m:sSubPr>
              <m:ctrlPr>
                <w:rPr>
                  <w:rFonts w:ascii="Cambria Math" w:eastAsiaTheme="minorEastAsia" w:hAnsi="Cambria Math" w:cs="Arial"/>
                  <w:b/>
                  <w:i/>
                  <w:sz w:val="24"/>
                  <w:szCs w:val="24"/>
                  <w:lang w:eastAsia="es-AR"/>
                </w:rPr>
              </m:ctrlPr>
            </m:sSubPr>
            <m:e>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θ</m:t>
                  </m:r>
                </m:e>
                <m:sub>
                  <m:r>
                    <m:rPr>
                      <m:sty m:val="bi"/>
                    </m:rPr>
                    <w:rPr>
                      <w:rFonts w:ascii="Cambria Math" w:eastAsiaTheme="minorEastAsia" w:hAnsi="Cambria Math" w:cs="Arial"/>
                      <w:sz w:val="24"/>
                      <w:szCs w:val="24"/>
                      <w:lang w:eastAsia="es-AR"/>
                    </w:rPr>
                    <m:t>9</m:t>
                  </m:r>
                </m:sub>
              </m:sSub>
              <m:r>
                <m:rPr>
                  <m:sty m:val="bi"/>
                </m:rPr>
                <w:rPr>
                  <w:rFonts w:ascii="Cambria Math" w:eastAsiaTheme="minorEastAsia" w:hAnsi="Cambria Math" w:cs="Arial"/>
                  <w:sz w:val="24"/>
                  <w:szCs w:val="24"/>
                  <w:lang w:eastAsia="es-AR"/>
                </w:rPr>
                <m:t>u</m:t>
              </m:r>
            </m:e>
            <m:sub>
              <m:r>
                <m:rPr>
                  <m:sty m:val="bi"/>
                </m:rPr>
                <w:rPr>
                  <w:rFonts w:ascii="Cambria Math" w:eastAsiaTheme="minorEastAsia" w:hAnsi="Cambria Math" w:cs="Arial"/>
                  <w:sz w:val="24"/>
                  <w:szCs w:val="24"/>
                  <w:lang w:eastAsia="es-AR"/>
                </w:rPr>
                <m:t>t-9</m:t>
              </m:r>
            </m:sub>
          </m:sSub>
          <m:r>
            <m:rPr>
              <m:sty m:val="bi"/>
            </m:rPr>
            <w:rPr>
              <w:rFonts w:ascii="Cambria Math" w:eastAsiaTheme="minorEastAsia" w:hAnsi="Cambria Math" w:cs="Arial"/>
              <w:sz w:val="24"/>
              <w:szCs w:val="24"/>
              <w:lang w:eastAsia="es-AR"/>
            </w:rPr>
            <m:t>+</m:t>
          </m:r>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u</m:t>
              </m:r>
            </m:e>
            <m:sub>
              <m:r>
                <m:rPr>
                  <m:sty m:val="bi"/>
                </m:rPr>
                <w:rPr>
                  <w:rFonts w:ascii="Cambria Math" w:eastAsiaTheme="minorEastAsia" w:hAnsi="Cambria Math" w:cs="Arial"/>
                  <w:sz w:val="24"/>
                  <w:szCs w:val="24"/>
                  <w:lang w:eastAsia="es-AR"/>
                </w:rPr>
                <m:t>t</m:t>
              </m:r>
            </m:sub>
          </m:sSub>
          <m:r>
            <m:rPr>
              <m:sty m:val="bi"/>
            </m:rPr>
            <w:rPr>
              <w:rFonts w:ascii="Cambria Math" w:eastAsiaTheme="minorEastAsia" w:hAnsi="Cambria Math" w:cs="Arial"/>
              <w:sz w:val="24"/>
              <w:szCs w:val="24"/>
              <w:lang w:eastAsia="es-AR"/>
            </w:rPr>
            <m:t xml:space="preserve"> </m:t>
          </m:r>
        </m:oMath>
      </m:oMathPara>
    </w:p>
    <w:p w:rsidR="00AA033E" w:rsidRPr="00B42455" w:rsidRDefault="00455450" w:rsidP="005F1E1C">
      <w:pPr>
        <w:jc w:val="both"/>
        <w:rPr>
          <w:sz w:val="24"/>
          <w:szCs w:val="24"/>
        </w:rPr>
      </w:pPr>
      <w:r w:rsidRPr="00B42455">
        <w:rPr>
          <w:sz w:val="24"/>
          <w:szCs w:val="24"/>
        </w:rPr>
        <w:t>Donde:</w:t>
      </w:r>
    </w:p>
    <w:p w:rsidR="00455450" w:rsidRPr="00B42455" w:rsidRDefault="00AB0E14" w:rsidP="005F1E1C">
      <w:pPr>
        <w:pStyle w:val="Prrafodelista"/>
        <w:numPr>
          <w:ilvl w:val="0"/>
          <w:numId w:val="1"/>
        </w:numPr>
        <w:jc w:val="both"/>
        <w:rPr>
          <w:sz w:val="24"/>
          <w:szCs w:val="24"/>
        </w:rPr>
      </w:pPr>
      <m:oMath>
        <m:sSub>
          <m:sSubPr>
            <m:ctrlPr>
              <w:rPr>
                <w:rFonts w:ascii="Cambria Math" w:eastAsiaTheme="minorEastAsia" w:hAnsi="Cambria Math" w:cs="Arial"/>
                <w:i/>
                <w:sz w:val="24"/>
                <w:szCs w:val="24"/>
                <w:lang w:eastAsia="es-AR"/>
              </w:rPr>
            </m:ctrlPr>
          </m:sSubPr>
          <m:e>
            <m:r>
              <w:rPr>
                <w:rFonts w:ascii="Cambria Math" w:eastAsiaTheme="minorEastAsia" w:hAnsi="Cambria Math" w:cs="Arial"/>
                <w:sz w:val="24"/>
                <w:szCs w:val="24"/>
                <w:lang w:eastAsia="es-AR"/>
              </w:rPr>
              <m:t>Ω</m:t>
            </m:r>
          </m:e>
          <m:sub>
            <m:r>
              <w:rPr>
                <w:rFonts w:ascii="Cambria Math" w:eastAsiaTheme="minorEastAsia" w:hAnsi="Cambria Math" w:cs="Arial"/>
                <w:sz w:val="24"/>
                <w:szCs w:val="24"/>
                <w:lang w:eastAsia="es-AR"/>
              </w:rPr>
              <m:t>i</m:t>
            </m:r>
          </m:sub>
        </m:sSub>
        <m:r>
          <w:rPr>
            <w:rFonts w:ascii="Cambria Math" w:eastAsiaTheme="minorEastAsia" w:hAnsi="Cambria Math" w:cs="Arial"/>
            <w:sz w:val="24"/>
            <w:szCs w:val="24"/>
            <w:lang w:eastAsia="es-AR"/>
          </w:rPr>
          <m:t xml:space="preserve"> .</m:t>
        </m:r>
        <m:sSub>
          <m:sSubPr>
            <m:ctrlPr>
              <w:rPr>
                <w:rFonts w:ascii="Cambria Math" w:eastAsiaTheme="minorEastAsia" w:hAnsi="Cambria Math" w:cs="Arial"/>
                <w:i/>
                <w:sz w:val="24"/>
                <w:szCs w:val="24"/>
                <w:lang w:eastAsia="es-AR"/>
              </w:rPr>
            </m:ctrlPr>
          </m:sSubPr>
          <m:e>
            <m:r>
              <w:rPr>
                <w:rFonts w:ascii="Cambria Math" w:hAnsi="Cambria Math" w:cs="Arial"/>
                <w:sz w:val="24"/>
                <w:szCs w:val="24"/>
              </w:rPr>
              <m:t>Dp</m:t>
            </m:r>
          </m:e>
          <m:sub>
            <m:r>
              <w:rPr>
                <w:rFonts w:ascii="Cambria Math" w:eastAsiaTheme="minorEastAsia" w:hAnsi="Cambria Math" w:cs="Arial"/>
                <w:sz w:val="24"/>
                <w:szCs w:val="24"/>
                <w:lang w:eastAsia="es-AR"/>
              </w:rPr>
              <m:t>it</m:t>
            </m:r>
          </m:sub>
        </m:sSub>
      </m:oMath>
      <w:r w:rsidR="00455450" w:rsidRPr="00B42455">
        <w:rPr>
          <w:rFonts w:eastAsiaTheme="minorEastAsia"/>
          <w:sz w:val="24"/>
          <w:szCs w:val="24"/>
          <w:lang w:eastAsia="es-AR"/>
        </w:rPr>
        <w:t xml:space="preserve"> corresponden a las variables dicotómicas puntuales, que toman valor 1 en los meses de junio y diciembre del año 2012.</w:t>
      </w:r>
    </w:p>
    <w:p w:rsidR="00455450" w:rsidRPr="00B42455" w:rsidRDefault="00AB0E14" w:rsidP="005F1E1C">
      <w:pPr>
        <w:pStyle w:val="Prrafodelista"/>
        <w:numPr>
          <w:ilvl w:val="0"/>
          <w:numId w:val="1"/>
        </w:numPr>
        <w:jc w:val="both"/>
        <w:rPr>
          <w:sz w:val="24"/>
          <w:szCs w:val="24"/>
        </w:rPr>
      </w:pPr>
      <m:oMath>
        <m:sSub>
          <m:sSubPr>
            <m:ctrlPr>
              <w:rPr>
                <w:rFonts w:ascii="Cambria Math" w:eastAsiaTheme="minorEastAsia" w:hAnsi="Cambria Math" w:cs="Arial"/>
                <w:i/>
                <w:sz w:val="24"/>
                <w:szCs w:val="24"/>
                <w:lang w:eastAsia="es-AR"/>
              </w:rPr>
            </m:ctrlPr>
          </m:sSubPr>
          <m:e>
            <m:r>
              <w:rPr>
                <w:rFonts w:ascii="Cambria Math" w:eastAsiaTheme="minorEastAsia" w:hAnsi="Cambria Math" w:cs="Arial"/>
                <w:sz w:val="24"/>
                <w:szCs w:val="24"/>
                <w:lang w:eastAsia="es-AR"/>
              </w:rPr>
              <m:t>π</m:t>
            </m:r>
          </m:e>
          <m:sub>
            <m:r>
              <w:rPr>
                <w:rFonts w:ascii="Cambria Math" w:eastAsiaTheme="minorEastAsia" w:hAnsi="Cambria Math" w:cs="Arial"/>
                <w:sz w:val="24"/>
                <w:szCs w:val="24"/>
                <w:lang w:eastAsia="es-AR"/>
              </w:rPr>
              <m:t>i</m:t>
            </m:r>
          </m:sub>
        </m:sSub>
        <m:r>
          <w:rPr>
            <w:rFonts w:ascii="Cambria Math" w:eastAsiaTheme="minorEastAsia" w:hAnsi="Cambria Math" w:cs="Arial"/>
            <w:sz w:val="24"/>
            <w:szCs w:val="24"/>
            <w:lang w:eastAsia="es-AR"/>
          </w:rPr>
          <m:t xml:space="preserve"> .</m:t>
        </m:r>
        <m:sSub>
          <m:sSubPr>
            <m:ctrlPr>
              <w:rPr>
                <w:rFonts w:ascii="Cambria Math" w:eastAsiaTheme="minorEastAsia" w:hAnsi="Cambria Math" w:cs="Arial"/>
                <w:i/>
                <w:sz w:val="24"/>
                <w:szCs w:val="24"/>
                <w:lang w:eastAsia="es-AR"/>
              </w:rPr>
            </m:ctrlPr>
          </m:sSubPr>
          <m:e>
            <m:r>
              <w:rPr>
                <w:rFonts w:ascii="Cambria Math" w:hAnsi="Cambria Math" w:cs="Arial"/>
                <w:sz w:val="24"/>
                <w:szCs w:val="24"/>
              </w:rPr>
              <m:t>De</m:t>
            </m:r>
          </m:e>
          <m:sub>
            <m:r>
              <w:rPr>
                <w:rFonts w:ascii="Cambria Math" w:eastAsiaTheme="minorEastAsia" w:hAnsi="Cambria Math" w:cs="Arial"/>
                <w:sz w:val="24"/>
                <w:szCs w:val="24"/>
                <w:lang w:eastAsia="es-AR"/>
              </w:rPr>
              <m:t>it</m:t>
            </m:r>
          </m:sub>
        </m:sSub>
      </m:oMath>
      <w:r w:rsidR="00455450" w:rsidRPr="00B42455">
        <w:rPr>
          <w:rFonts w:eastAsiaTheme="minorEastAsia"/>
          <w:sz w:val="24"/>
          <w:szCs w:val="24"/>
          <w:lang w:eastAsia="es-AR"/>
        </w:rPr>
        <w:t xml:space="preserve"> corresponden a las variables estacionales que toman valor 1 en los meses de marzo y noviembre de todos los años de la muestra.</w:t>
      </w:r>
    </w:p>
    <w:p w:rsidR="00455450" w:rsidRPr="00B42455" w:rsidRDefault="004D5D2A" w:rsidP="005F1E1C">
      <w:pPr>
        <w:jc w:val="both"/>
        <w:rPr>
          <w:noProof/>
          <w:sz w:val="24"/>
          <w:szCs w:val="24"/>
          <w:lang w:eastAsia="es-AR"/>
        </w:rPr>
      </w:pPr>
      <w:r w:rsidRPr="00B42455">
        <w:rPr>
          <w:noProof/>
          <w:sz w:val="24"/>
          <w:szCs w:val="24"/>
          <w:lang w:eastAsia="es-AR"/>
        </w:rPr>
        <w:t>Los resultados de la estimación son los siguientes:</w:t>
      </w:r>
    </w:p>
    <w:p w:rsidR="004D5D2A" w:rsidRPr="00B42455" w:rsidRDefault="005E3025" w:rsidP="005F1E1C">
      <w:pPr>
        <w:jc w:val="center"/>
        <w:rPr>
          <w:noProof/>
          <w:sz w:val="24"/>
          <w:szCs w:val="24"/>
          <w:lang w:eastAsia="es-AR"/>
        </w:rPr>
      </w:pPr>
      <w:r w:rsidRPr="00B42455">
        <w:rPr>
          <w:noProof/>
          <w:sz w:val="24"/>
          <w:szCs w:val="24"/>
          <w:lang w:val="es-ES" w:eastAsia="es-ES"/>
        </w:rPr>
        <w:drawing>
          <wp:inline distT="0" distB="0" distL="0" distR="0" wp14:anchorId="53355FB4" wp14:editId="41A56E82">
            <wp:extent cx="3038475" cy="4222846"/>
            <wp:effectExtent l="19050" t="19050" r="9525" b="2540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5495" cy="4232602"/>
                    </a:xfrm>
                    <a:prstGeom prst="rect">
                      <a:avLst/>
                    </a:prstGeom>
                    <a:noFill/>
                    <a:ln>
                      <a:solidFill>
                        <a:schemeClr val="accent1"/>
                      </a:solidFill>
                    </a:ln>
                  </pic:spPr>
                </pic:pic>
              </a:graphicData>
            </a:graphic>
          </wp:inline>
        </w:drawing>
      </w:r>
    </w:p>
    <w:p w:rsidR="00455450" w:rsidRPr="00B42455" w:rsidRDefault="00455450" w:rsidP="005F1E1C">
      <w:pPr>
        <w:jc w:val="both"/>
        <w:rPr>
          <w:noProof/>
          <w:sz w:val="24"/>
          <w:szCs w:val="24"/>
          <w:lang w:eastAsia="es-AR"/>
        </w:rPr>
      </w:pPr>
      <w:r w:rsidRPr="00B42455">
        <w:rPr>
          <w:noProof/>
          <w:sz w:val="24"/>
          <w:szCs w:val="24"/>
          <w:lang w:eastAsia="es-AR"/>
        </w:rPr>
        <w:lastRenderedPageBreak/>
        <w:t>Nuevamente se analizaron los residuos del modelo:</w:t>
      </w:r>
    </w:p>
    <w:p w:rsidR="00455450" w:rsidRPr="00D97D50" w:rsidRDefault="00455450" w:rsidP="005F1E1C">
      <w:pPr>
        <w:jc w:val="center"/>
        <w:rPr>
          <w:b/>
          <w:i/>
          <w:noProof/>
          <w:sz w:val="24"/>
          <w:szCs w:val="24"/>
          <w:u w:val="single"/>
          <w:lang w:eastAsia="es-AR"/>
        </w:rPr>
      </w:pPr>
      <w:r w:rsidRPr="00D97D50">
        <w:rPr>
          <w:b/>
          <w:i/>
          <w:noProof/>
          <w:sz w:val="24"/>
          <w:szCs w:val="24"/>
          <w:u w:val="single"/>
          <w:lang w:eastAsia="es-AR"/>
        </w:rPr>
        <w:t>Ja</w:t>
      </w:r>
      <w:r w:rsidR="0004424B" w:rsidRPr="00D97D50">
        <w:rPr>
          <w:b/>
          <w:i/>
          <w:noProof/>
          <w:sz w:val="24"/>
          <w:szCs w:val="24"/>
          <w:u w:val="single"/>
          <w:lang w:eastAsia="es-AR"/>
        </w:rPr>
        <w:t>r</w:t>
      </w:r>
      <w:r w:rsidRPr="00D97D50">
        <w:rPr>
          <w:b/>
          <w:i/>
          <w:noProof/>
          <w:sz w:val="24"/>
          <w:szCs w:val="24"/>
          <w:u w:val="single"/>
          <w:lang w:eastAsia="es-AR"/>
        </w:rPr>
        <w:t>que-Bera</w:t>
      </w:r>
    </w:p>
    <w:p w:rsidR="00455450" w:rsidRPr="00B42455" w:rsidRDefault="004D5D2A" w:rsidP="005F1E1C">
      <w:pPr>
        <w:jc w:val="center"/>
        <w:rPr>
          <w:noProof/>
          <w:sz w:val="24"/>
          <w:szCs w:val="24"/>
          <w:lang w:eastAsia="es-AR"/>
        </w:rPr>
      </w:pPr>
      <w:r w:rsidRPr="00B42455">
        <w:rPr>
          <w:noProof/>
          <w:sz w:val="24"/>
          <w:szCs w:val="24"/>
          <w:lang w:val="es-ES" w:eastAsia="es-ES"/>
        </w:rPr>
        <w:drawing>
          <wp:inline distT="0" distB="0" distL="0" distR="0" wp14:anchorId="028D5436" wp14:editId="02E44D13">
            <wp:extent cx="3703320" cy="1695450"/>
            <wp:effectExtent l="19050" t="19050" r="11430" b="190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41892" cy="1713109"/>
                    </a:xfrm>
                    <a:prstGeom prst="rect">
                      <a:avLst/>
                    </a:prstGeom>
                    <a:noFill/>
                    <a:ln>
                      <a:solidFill>
                        <a:schemeClr val="accent1"/>
                      </a:solidFill>
                    </a:ln>
                  </pic:spPr>
                </pic:pic>
              </a:graphicData>
            </a:graphic>
          </wp:inline>
        </w:drawing>
      </w:r>
    </w:p>
    <w:p w:rsidR="000B775B" w:rsidRPr="00D97D50" w:rsidRDefault="004D5D2A" w:rsidP="005F1E1C">
      <w:pPr>
        <w:jc w:val="center"/>
        <w:rPr>
          <w:b/>
          <w:i/>
          <w:sz w:val="24"/>
          <w:szCs w:val="24"/>
          <w:u w:val="single"/>
        </w:rPr>
      </w:pPr>
      <w:r w:rsidRPr="00D97D50">
        <w:rPr>
          <w:b/>
          <w:i/>
          <w:noProof/>
          <w:sz w:val="24"/>
          <w:szCs w:val="24"/>
          <w:u w:val="single"/>
          <w:lang w:eastAsia="es-AR"/>
        </w:rPr>
        <w:t>Correlograma de los residuos</w:t>
      </w:r>
      <w:r w:rsidR="000B775B" w:rsidRPr="00D97D50">
        <w:rPr>
          <w:b/>
          <w:i/>
          <w:noProof/>
          <w:sz w:val="24"/>
          <w:szCs w:val="24"/>
          <w:u w:val="single"/>
          <w:lang w:eastAsia="es-AR"/>
        </w:rPr>
        <w:t xml:space="preserve"> - </w:t>
      </w:r>
      <w:r w:rsidR="000B775B" w:rsidRPr="00D97D50">
        <w:rPr>
          <w:b/>
          <w:i/>
          <w:sz w:val="24"/>
          <w:szCs w:val="24"/>
          <w:u w:val="single"/>
        </w:rPr>
        <w:t>Test Q de Box-Pierce o Ljung &amp; Box</w:t>
      </w:r>
    </w:p>
    <w:p w:rsidR="004D5D2A" w:rsidRPr="00B42455" w:rsidRDefault="004D5D2A" w:rsidP="005F1E1C">
      <w:pPr>
        <w:jc w:val="center"/>
        <w:rPr>
          <w:sz w:val="24"/>
          <w:szCs w:val="24"/>
        </w:rPr>
      </w:pPr>
      <w:r w:rsidRPr="00B42455">
        <w:rPr>
          <w:noProof/>
          <w:sz w:val="24"/>
          <w:szCs w:val="24"/>
          <w:lang w:val="es-ES" w:eastAsia="es-ES"/>
        </w:rPr>
        <w:drawing>
          <wp:inline distT="0" distB="0" distL="0" distR="0" wp14:anchorId="0B6D80E3" wp14:editId="02F64AAC">
            <wp:extent cx="3533775" cy="2914650"/>
            <wp:effectExtent l="19050" t="19050" r="28575" b="190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73622" cy="2947516"/>
                    </a:xfrm>
                    <a:prstGeom prst="rect">
                      <a:avLst/>
                    </a:prstGeom>
                    <a:noFill/>
                    <a:ln>
                      <a:solidFill>
                        <a:schemeClr val="accent1"/>
                      </a:solidFill>
                    </a:ln>
                  </pic:spPr>
                </pic:pic>
              </a:graphicData>
            </a:graphic>
          </wp:inline>
        </w:drawing>
      </w:r>
    </w:p>
    <w:p w:rsidR="004D5D2A" w:rsidRPr="00B42455" w:rsidRDefault="004D5D2A" w:rsidP="005F1E1C">
      <w:pPr>
        <w:jc w:val="both"/>
        <w:rPr>
          <w:sz w:val="24"/>
          <w:szCs w:val="24"/>
        </w:rPr>
      </w:pPr>
      <w:r w:rsidRPr="00B42455">
        <w:rPr>
          <w:sz w:val="24"/>
          <w:szCs w:val="24"/>
        </w:rPr>
        <w:t>Se verificó que los residuos se comportaban como ruido blanco, pero persiste el problema de no</w:t>
      </w:r>
      <w:r w:rsidR="005E3025" w:rsidRPr="00B42455">
        <w:rPr>
          <w:sz w:val="24"/>
          <w:szCs w:val="24"/>
        </w:rPr>
        <w:t>rmalidad. Por ello</w:t>
      </w:r>
      <w:r w:rsidRPr="00B42455">
        <w:rPr>
          <w:sz w:val="24"/>
          <w:szCs w:val="24"/>
        </w:rPr>
        <w:t>, se procedió a la siguiente especificación:</w:t>
      </w:r>
    </w:p>
    <w:p w:rsidR="00D97D50" w:rsidRPr="00B42455" w:rsidRDefault="00AB0E14" w:rsidP="005F1E1C">
      <w:pPr>
        <w:spacing w:after="0"/>
        <w:jc w:val="center"/>
        <w:rPr>
          <w:rFonts w:cs="Arial"/>
          <w:sz w:val="24"/>
          <w:szCs w:val="24"/>
          <w:lang w:eastAsia="es-AR"/>
        </w:rPr>
      </w:pPr>
      <m:oMathPara>
        <m:oMathParaPr>
          <m:jc m:val="center"/>
        </m:oMathParaPr>
        <m:oMath>
          <m:sSup>
            <m:sSupPr>
              <m:ctrlPr>
                <w:rPr>
                  <w:rFonts w:ascii="Cambria Math" w:eastAsiaTheme="minorEastAsia" w:hAnsi="Cambria Math" w:cs="Arial"/>
                  <w:b/>
                  <w:i/>
                  <w:sz w:val="24"/>
                  <w:szCs w:val="24"/>
                  <w:lang w:eastAsia="es-AR"/>
                </w:rPr>
              </m:ctrlPr>
            </m:sSupPr>
            <m:e>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AFM</m:t>
                  </m:r>
                </m:e>
                <m:sub>
                  <m:r>
                    <m:rPr>
                      <m:sty m:val="bi"/>
                    </m:rPr>
                    <w:rPr>
                      <w:rFonts w:ascii="Cambria Math" w:eastAsiaTheme="minorEastAsia" w:hAnsi="Cambria Math" w:cs="Arial"/>
                      <w:sz w:val="24"/>
                      <w:szCs w:val="24"/>
                      <w:lang w:eastAsia="es-AR"/>
                    </w:rPr>
                    <m:t>t</m:t>
                  </m:r>
                </m:sub>
              </m:sSub>
            </m:e>
            <m:sup>
              <m:r>
                <m:rPr>
                  <m:sty m:val="bi"/>
                </m:rPr>
                <w:rPr>
                  <w:rFonts w:ascii="Cambria Math" w:eastAsiaTheme="minorEastAsia" w:hAnsi="Cambria Math" w:cs="Arial"/>
                  <w:sz w:val="24"/>
                  <w:szCs w:val="24"/>
                  <w:lang w:eastAsia="es-AR"/>
                </w:rPr>
                <m:t>*</m:t>
              </m:r>
            </m:sup>
          </m:sSup>
          <m:r>
            <m:rPr>
              <m:sty m:val="bi"/>
            </m:rPr>
            <w:rPr>
              <w:rFonts w:ascii="Cambria Math" w:eastAsiaTheme="minorEastAsia" w:hAnsi="Cambria Math" w:cs="Arial"/>
              <w:sz w:val="24"/>
              <w:szCs w:val="24"/>
              <w:lang w:eastAsia="es-AR"/>
            </w:rPr>
            <m:t xml:space="preserve">= </m:t>
          </m:r>
          <m:sSup>
            <m:sSupPr>
              <m:ctrlPr>
                <w:rPr>
                  <w:rFonts w:ascii="Cambria Math" w:eastAsiaTheme="minorEastAsia" w:hAnsi="Cambria Math" w:cs="Arial"/>
                  <w:b/>
                  <w:i/>
                  <w:sz w:val="24"/>
                  <w:szCs w:val="24"/>
                  <w:lang w:eastAsia="es-AR"/>
                </w:rPr>
              </m:ctrlPr>
            </m:sSupPr>
            <m:e>
              <m:r>
                <m:rPr>
                  <m:sty m:val="bi"/>
                </m:rPr>
                <w:rPr>
                  <w:rFonts w:ascii="Cambria Math" w:eastAsiaTheme="minorEastAsia" w:hAnsi="Cambria Math" w:cs="Arial"/>
                  <w:sz w:val="24"/>
                  <w:szCs w:val="24"/>
                  <w:lang w:eastAsia="es-AR"/>
                </w:rPr>
                <m:t>α</m:t>
              </m:r>
            </m:e>
            <m:sup>
              <m:r>
                <m:rPr>
                  <m:sty m:val="bi"/>
                </m:rPr>
                <w:rPr>
                  <w:rFonts w:ascii="Cambria Math" w:eastAsiaTheme="minorEastAsia" w:hAnsi="Cambria Math" w:cs="Arial"/>
                  <w:sz w:val="24"/>
                  <w:szCs w:val="24"/>
                  <w:lang w:eastAsia="es-AR"/>
                </w:rPr>
                <m:t>*</m:t>
              </m:r>
            </m:sup>
          </m:sSup>
          <m:r>
            <m:rPr>
              <m:sty m:val="bi"/>
            </m:rPr>
            <w:rPr>
              <w:rFonts w:ascii="Cambria Math" w:eastAsiaTheme="minorEastAsia" w:hAnsi="Cambria Math" w:cs="Arial"/>
              <w:sz w:val="24"/>
              <w:szCs w:val="24"/>
              <w:lang w:eastAsia="es-AR"/>
            </w:rPr>
            <m:t xml:space="preserve">+β . </m:t>
          </m:r>
          <m:sSubSup>
            <m:sSubSupPr>
              <m:ctrlPr>
                <w:rPr>
                  <w:rFonts w:ascii="Cambria Math" w:eastAsiaTheme="minorEastAsia" w:hAnsi="Cambria Math" w:cs="Arial"/>
                  <w:b/>
                  <w:i/>
                  <w:sz w:val="24"/>
                  <w:szCs w:val="24"/>
                  <w:lang w:eastAsia="es-AR"/>
                </w:rPr>
              </m:ctrlPr>
            </m:sSubSupPr>
            <m:e>
              <m:r>
                <m:rPr>
                  <m:sty m:val="bi"/>
                </m:rPr>
                <w:rPr>
                  <w:rFonts w:ascii="Cambria Math" w:eastAsiaTheme="minorEastAsia" w:hAnsi="Cambria Math" w:cs="Arial"/>
                  <w:sz w:val="24"/>
                  <w:szCs w:val="24"/>
                  <w:lang w:eastAsia="es-AR"/>
                </w:rPr>
                <m:t>TCN</m:t>
              </m:r>
            </m:e>
            <m:sub>
              <m:r>
                <m:rPr>
                  <m:sty m:val="bi"/>
                </m:rPr>
                <w:rPr>
                  <w:rFonts w:ascii="Cambria Math" w:eastAsiaTheme="minorEastAsia" w:hAnsi="Cambria Math" w:cs="Arial"/>
                  <w:sz w:val="24"/>
                  <w:szCs w:val="24"/>
                  <w:lang w:eastAsia="es-AR"/>
                </w:rPr>
                <m:t>t</m:t>
              </m:r>
            </m:sub>
            <m:sup>
              <m:r>
                <m:rPr>
                  <m:sty m:val="bi"/>
                </m:rPr>
                <w:rPr>
                  <w:rFonts w:ascii="Cambria Math" w:eastAsiaTheme="minorEastAsia" w:hAnsi="Cambria Math" w:cs="Arial"/>
                  <w:sz w:val="24"/>
                  <w:szCs w:val="24"/>
                  <w:lang w:eastAsia="es-AR"/>
                </w:rPr>
                <m:t>*</m:t>
              </m:r>
            </m:sup>
          </m:sSubSup>
          <m:r>
            <m:rPr>
              <m:sty m:val="bi"/>
            </m:rPr>
            <w:rPr>
              <w:rFonts w:ascii="Cambria Math" w:eastAsiaTheme="minorEastAsia" w:hAnsi="Cambria Math" w:cs="Arial"/>
              <w:sz w:val="24"/>
              <w:szCs w:val="24"/>
              <w:lang w:eastAsia="es-AR"/>
            </w:rPr>
            <m:t xml:space="preserve"> + θ . </m:t>
          </m:r>
          <m:sSubSup>
            <m:sSubSupPr>
              <m:ctrlPr>
                <w:rPr>
                  <w:rFonts w:ascii="Cambria Math" w:eastAsiaTheme="minorEastAsia" w:hAnsi="Cambria Math" w:cs="Arial"/>
                  <w:b/>
                  <w:i/>
                  <w:sz w:val="24"/>
                  <w:szCs w:val="24"/>
                  <w:lang w:eastAsia="es-AR"/>
                </w:rPr>
              </m:ctrlPr>
            </m:sSubSupPr>
            <m:e>
              <m:r>
                <m:rPr>
                  <m:sty m:val="bi"/>
                </m:rPr>
                <w:rPr>
                  <w:rFonts w:ascii="Cambria Math" w:eastAsiaTheme="minorEastAsia" w:hAnsi="Cambria Math" w:cs="Arial"/>
                  <w:sz w:val="24"/>
                  <w:szCs w:val="24"/>
                  <w:lang w:eastAsia="es-AR"/>
                </w:rPr>
                <m:t>EMAE</m:t>
              </m:r>
            </m:e>
            <m:sub>
              <m:r>
                <m:rPr>
                  <m:sty m:val="bi"/>
                </m:rPr>
                <w:rPr>
                  <w:rFonts w:ascii="Cambria Math" w:eastAsiaTheme="minorEastAsia" w:hAnsi="Cambria Math" w:cs="Arial"/>
                  <w:sz w:val="24"/>
                  <w:szCs w:val="24"/>
                  <w:lang w:eastAsia="es-AR"/>
                </w:rPr>
                <m:t>t</m:t>
              </m:r>
            </m:sub>
            <m:sup>
              <m:r>
                <m:rPr>
                  <m:sty m:val="bi"/>
                </m:rPr>
                <w:rPr>
                  <w:rFonts w:ascii="Cambria Math" w:eastAsiaTheme="minorEastAsia" w:hAnsi="Cambria Math" w:cs="Arial"/>
                  <w:sz w:val="24"/>
                  <w:szCs w:val="24"/>
                  <w:lang w:eastAsia="es-AR"/>
                </w:rPr>
                <m:t>*</m:t>
              </m:r>
            </m:sup>
          </m:sSubSup>
          <m:r>
            <m:rPr>
              <m:sty m:val="bi"/>
            </m:rPr>
            <w:rPr>
              <w:rFonts w:ascii="Cambria Math" w:eastAsiaTheme="minorEastAsia" w:hAnsi="Cambria Math" w:cs="Arial"/>
              <w:sz w:val="24"/>
              <w:szCs w:val="24"/>
              <w:lang w:eastAsia="es-AR"/>
            </w:rPr>
            <m:t xml:space="preserve"> + </m:t>
          </m:r>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Ω</m:t>
              </m:r>
            </m:e>
            <m:sub>
              <m:r>
                <m:rPr>
                  <m:sty m:val="bi"/>
                </m:rPr>
                <w:rPr>
                  <w:rFonts w:ascii="Cambria Math" w:eastAsiaTheme="minorEastAsia" w:hAnsi="Cambria Math" w:cs="Arial"/>
                  <w:sz w:val="24"/>
                  <w:szCs w:val="24"/>
                  <w:lang w:eastAsia="es-AR"/>
                </w:rPr>
                <m:t>1</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hAnsi="Cambria Math" w:cs="Arial"/>
                  <w:sz w:val="24"/>
                  <w:szCs w:val="24"/>
                </w:rPr>
                <m:t>Dp</m:t>
              </m:r>
            </m:e>
            <m:sub>
              <m:r>
                <m:rPr>
                  <m:sty m:val="bi"/>
                </m:rPr>
                <w:rPr>
                  <w:rFonts w:ascii="Cambria Math" w:eastAsiaTheme="minorEastAsia" w:hAnsi="Cambria Math" w:cs="Arial"/>
                  <w:sz w:val="24"/>
                  <w:szCs w:val="24"/>
                  <w:lang w:eastAsia="es-AR"/>
                </w:rPr>
                <m:t>1</m:t>
              </m:r>
              <m:r>
                <m:rPr>
                  <m:sty m:val="bi"/>
                </m:rPr>
                <w:rPr>
                  <w:rFonts w:ascii="Cambria Math" w:eastAsiaTheme="minorEastAsia" w:hAnsi="Cambria Math" w:cs="Arial"/>
                  <w:sz w:val="24"/>
                  <w:szCs w:val="24"/>
                  <w:lang w:eastAsia="es-AR"/>
                </w:rPr>
                <m:t>t</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Ω</m:t>
              </m:r>
            </m:e>
            <m:sub>
              <m:r>
                <m:rPr>
                  <m:sty m:val="bi"/>
                </m:rPr>
                <w:rPr>
                  <w:rFonts w:ascii="Cambria Math" w:eastAsiaTheme="minorEastAsia" w:hAnsi="Cambria Math" w:cs="Arial"/>
                  <w:sz w:val="24"/>
                  <w:szCs w:val="24"/>
                  <w:lang w:eastAsia="es-AR"/>
                </w:rPr>
                <m:t>2</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hAnsi="Cambria Math" w:cs="Arial"/>
                  <w:sz w:val="24"/>
                  <w:szCs w:val="24"/>
                </w:rPr>
                <m:t>Dp</m:t>
              </m:r>
            </m:e>
            <m:sub>
              <m:r>
                <m:rPr>
                  <m:sty m:val="bi"/>
                </m:rPr>
                <w:rPr>
                  <w:rFonts w:ascii="Cambria Math" w:eastAsiaTheme="minorEastAsia" w:hAnsi="Cambria Math" w:cs="Arial"/>
                  <w:sz w:val="24"/>
                  <w:szCs w:val="24"/>
                  <w:lang w:eastAsia="es-AR"/>
                </w:rPr>
                <m:t>2</m:t>
              </m:r>
              <m:r>
                <m:rPr>
                  <m:sty m:val="bi"/>
                </m:rPr>
                <w:rPr>
                  <w:rFonts w:ascii="Cambria Math" w:eastAsiaTheme="minorEastAsia" w:hAnsi="Cambria Math" w:cs="Arial"/>
                  <w:sz w:val="24"/>
                  <w:szCs w:val="24"/>
                  <w:lang w:eastAsia="es-AR"/>
                </w:rPr>
                <m:t>t</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Ω</m:t>
              </m:r>
            </m:e>
            <m:sub>
              <m:r>
                <m:rPr>
                  <m:sty m:val="bi"/>
                </m:rPr>
                <w:rPr>
                  <w:rFonts w:ascii="Cambria Math" w:eastAsiaTheme="minorEastAsia" w:hAnsi="Cambria Math" w:cs="Arial"/>
                  <w:sz w:val="24"/>
                  <w:szCs w:val="24"/>
                  <w:lang w:eastAsia="es-AR"/>
                </w:rPr>
                <m:t>3</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hAnsi="Cambria Math" w:cs="Arial"/>
                  <w:sz w:val="24"/>
                  <w:szCs w:val="24"/>
                </w:rPr>
                <m:t>Dp</m:t>
              </m:r>
            </m:e>
            <m:sub>
              <m:r>
                <m:rPr>
                  <m:sty m:val="bi"/>
                </m:rPr>
                <w:rPr>
                  <w:rFonts w:ascii="Cambria Math" w:eastAsiaTheme="minorEastAsia" w:hAnsi="Cambria Math" w:cs="Arial"/>
                  <w:sz w:val="24"/>
                  <w:szCs w:val="24"/>
                  <w:lang w:eastAsia="es-AR"/>
                </w:rPr>
                <m:t>3</m:t>
              </m:r>
              <m:r>
                <m:rPr>
                  <m:sty m:val="bi"/>
                </m:rPr>
                <w:rPr>
                  <w:rFonts w:ascii="Cambria Math" w:eastAsiaTheme="minorEastAsia" w:hAnsi="Cambria Math" w:cs="Arial"/>
                  <w:sz w:val="24"/>
                  <w:szCs w:val="24"/>
                  <w:lang w:eastAsia="es-AR"/>
                </w:rPr>
                <m:t>t</m:t>
              </m:r>
            </m:sub>
          </m:sSub>
          <m:r>
            <m:rPr>
              <m:sty m:val="bi"/>
            </m:rPr>
            <w:rPr>
              <w:rFonts w:ascii="Cambria Math" w:eastAsiaTheme="minorEastAsia" w:hAnsi="Cambria Math" w:cs="Arial"/>
              <w:sz w:val="24"/>
              <w:szCs w:val="24"/>
              <w:lang w:eastAsia="es-AR"/>
            </w:rPr>
            <m:t xml:space="preserve">+ + </m:t>
          </m:r>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Ω</m:t>
              </m:r>
            </m:e>
            <m:sub>
              <m:r>
                <m:rPr>
                  <m:sty m:val="bi"/>
                </m:rPr>
                <w:rPr>
                  <w:rFonts w:ascii="Cambria Math" w:eastAsiaTheme="minorEastAsia" w:hAnsi="Cambria Math" w:cs="Arial"/>
                  <w:sz w:val="24"/>
                  <w:szCs w:val="24"/>
                  <w:lang w:eastAsia="es-AR"/>
                </w:rPr>
                <m:t>4</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hAnsi="Cambria Math" w:cs="Arial"/>
                  <w:sz w:val="24"/>
                  <w:szCs w:val="24"/>
                </w:rPr>
                <m:t>Dp</m:t>
              </m:r>
            </m:e>
            <m:sub>
              <m:r>
                <m:rPr>
                  <m:sty m:val="bi"/>
                </m:rPr>
                <w:rPr>
                  <w:rFonts w:ascii="Cambria Math" w:eastAsiaTheme="minorEastAsia" w:hAnsi="Cambria Math" w:cs="Arial"/>
                  <w:sz w:val="24"/>
                  <w:szCs w:val="24"/>
                  <w:lang w:eastAsia="es-AR"/>
                </w:rPr>
                <m:t>4</m:t>
              </m:r>
              <m:r>
                <m:rPr>
                  <m:sty m:val="bi"/>
                </m:rPr>
                <w:rPr>
                  <w:rFonts w:ascii="Cambria Math" w:eastAsiaTheme="minorEastAsia" w:hAnsi="Cambria Math" w:cs="Arial"/>
                  <w:sz w:val="24"/>
                  <w:szCs w:val="24"/>
                  <w:lang w:eastAsia="es-AR"/>
                </w:rPr>
                <m:t>t</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Ω</m:t>
              </m:r>
            </m:e>
            <m:sub>
              <m:r>
                <m:rPr>
                  <m:sty m:val="bi"/>
                </m:rPr>
                <w:rPr>
                  <w:rFonts w:ascii="Cambria Math" w:eastAsiaTheme="minorEastAsia" w:hAnsi="Cambria Math" w:cs="Arial"/>
                  <w:sz w:val="24"/>
                  <w:szCs w:val="24"/>
                  <w:lang w:eastAsia="es-AR"/>
                </w:rPr>
                <m:t>5</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hAnsi="Cambria Math" w:cs="Arial"/>
                  <w:sz w:val="24"/>
                  <w:szCs w:val="24"/>
                </w:rPr>
                <m:t>Dp</m:t>
              </m:r>
            </m:e>
            <m:sub>
              <m:r>
                <m:rPr>
                  <m:sty m:val="bi"/>
                </m:rPr>
                <w:rPr>
                  <w:rFonts w:ascii="Cambria Math" w:eastAsiaTheme="minorEastAsia" w:hAnsi="Cambria Math" w:cs="Arial"/>
                  <w:sz w:val="24"/>
                  <w:szCs w:val="24"/>
                  <w:lang w:eastAsia="es-AR"/>
                </w:rPr>
                <m:t>5</m:t>
              </m:r>
              <m:r>
                <m:rPr>
                  <m:sty m:val="bi"/>
                </m:rPr>
                <w:rPr>
                  <w:rFonts w:ascii="Cambria Math" w:eastAsiaTheme="minorEastAsia" w:hAnsi="Cambria Math" w:cs="Arial"/>
                  <w:sz w:val="24"/>
                  <w:szCs w:val="24"/>
                  <w:lang w:eastAsia="es-AR"/>
                </w:rPr>
                <m:t>t</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Φ</m:t>
              </m:r>
            </m:e>
            <m:sub>
              <m:r>
                <m:rPr>
                  <m:sty m:val="bi"/>
                </m:rPr>
                <w:rPr>
                  <w:rFonts w:ascii="Cambria Math" w:eastAsiaTheme="minorEastAsia" w:hAnsi="Cambria Math" w:cs="Arial"/>
                  <w:sz w:val="24"/>
                  <w:szCs w:val="24"/>
                  <w:lang w:eastAsia="es-AR"/>
                </w:rPr>
                <m:t>3</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hAnsi="Cambria Math" w:cs="Arial"/>
                  <w:sz w:val="24"/>
                  <w:szCs w:val="24"/>
                </w:rPr>
                <m:t>De</m:t>
              </m:r>
            </m:e>
            <m:sub>
              <m:r>
                <m:rPr>
                  <m:sty m:val="bi"/>
                </m:rPr>
                <w:rPr>
                  <w:rFonts w:ascii="Cambria Math" w:eastAsiaTheme="minorEastAsia" w:hAnsi="Cambria Math" w:cs="Arial"/>
                  <w:sz w:val="24"/>
                  <w:szCs w:val="24"/>
                  <w:lang w:eastAsia="es-AR"/>
                </w:rPr>
                <m:t>3</m:t>
              </m:r>
              <m:r>
                <m:rPr>
                  <m:sty m:val="bi"/>
                </m:rPr>
                <w:rPr>
                  <w:rFonts w:ascii="Cambria Math" w:eastAsiaTheme="minorEastAsia" w:hAnsi="Cambria Math" w:cs="Arial"/>
                  <w:sz w:val="24"/>
                  <w:szCs w:val="24"/>
                  <w:lang w:eastAsia="es-AR"/>
                </w:rPr>
                <m:t>t</m:t>
              </m:r>
            </m:sub>
          </m:sSub>
          <m:r>
            <m:rPr>
              <m:sty m:val="bi"/>
            </m:rPr>
            <w:rPr>
              <w:rFonts w:ascii="Cambria Math" w:eastAsiaTheme="minorEastAsia" w:hAnsi="Cambria Math" w:cs="Arial"/>
              <w:sz w:val="24"/>
              <w:szCs w:val="24"/>
              <w:lang w:eastAsia="es-AR"/>
            </w:rPr>
            <m:t>+</m:t>
          </m:r>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Φ</m:t>
              </m:r>
            </m:e>
            <m:sub>
              <m:r>
                <m:rPr>
                  <m:sty m:val="bi"/>
                </m:rPr>
                <w:rPr>
                  <w:rFonts w:ascii="Cambria Math" w:eastAsiaTheme="minorEastAsia" w:hAnsi="Cambria Math" w:cs="Arial"/>
                  <w:sz w:val="24"/>
                  <w:szCs w:val="24"/>
                  <w:lang w:eastAsia="es-AR"/>
                </w:rPr>
                <m:t>11</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hAnsi="Cambria Math" w:cs="Arial"/>
                  <w:sz w:val="24"/>
                  <w:szCs w:val="24"/>
                </w:rPr>
                <m:t>D</m:t>
              </m:r>
            </m:e>
            <m:sub>
              <m:r>
                <m:rPr>
                  <m:sty m:val="bi"/>
                </m:rPr>
                <w:rPr>
                  <w:rFonts w:ascii="Cambria Math" w:eastAsiaTheme="minorEastAsia" w:hAnsi="Cambria Math" w:cs="Arial"/>
                  <w:sz w:val="24"/>
                  <w:szCs w:val="24"/>
                  <w:lang w:eastAsia="es-AR"/>
                </w:rPr>
                <m:t>11</m:t>
              </m:r>
              <m:r>
                <m:rPr>
                  <m:sty m:val="bi"/>
                </m:rPr>
                <w:rPr>
                  <w:rFonts w:ascii="Cambria Math" w:eastAsiaTheme="minorEastAsia" w:hAnsi="Cambria Math" w:cs="Arial"/>
                  <w:sz w:val="24"/>
                  <w:szCs w:val="24"/>
                  <w:lang w:eastAsia="es-AR"/>
                </w:rPr>
                <m:t>t</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ϕ</m:t>
              </m:r>
            </m:e>
            <m:sub>
              <m:r>
                <m:rPr>
                  <m:sty m:val="bi"/>
                </m:rPr>
                <w:rPr>
                  <w:rFonts w:ascii="Cambria Math" w:eastAsiaTheme="minorEastAsia" w:hAnsi="Cambria Math" w:cs="Arial"/>
                  <w:sz w:val="24"/>
                  <w:szCs w:val="24"/>
                  <w:lang w:eastAsia="es-AR"/>
                </w:rPr>
                <m:t>12</m:t>
              </m:r>
            </m:sub>
          </m:sSub>
          <m:r>
            <m:rPr>
              <m:sty m:val="bi"/>
            </m:rPr>
            <w:rPr>
              <w:rFonts w:ascii="Cambria Math" w:eastAsiaTheme="minorEastAsia" w:hAnsi="Cambria Math" w:cs="Arial"/>
              <w:sz w:val="24"/>
              <w:szCs w:val="24"/>
              <w:lang w:eastAsia="es-AR"/>
            </w:rPr>
            <m:t xml:space="preserve"> </m:t>
          </m:r>
          <m:sSup>
            <m:sSupPr>
              <m:ctrlPr>
                <w:rPr>
                  <w:rFonts w:ascii="Cambria Math" w:eastAsiaTheme="minorEastAsia" w:hAnsi="Cambria Math" w:cs="Arial"/>
                  <w:b/>
                  <w:i/>
                  <w:sz w:val="24"/>
                  <w:szCs w:val="24"/>
                  <w:lang w:eastAsia="es-AR"/>
                </w:rPr>
              </m:ctrlPr>
            </m:sSupPr>
            <m:e>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MT</m:t>
                  </m:r>
                </m:e>
                <m:sub>
                  <m:r>
                    <m:rPr>
                      <m:sty m:val="bi"/>
                    </m:rPr>
                    <w:rPr>
                      <w:rFonts w:ascii="Cambria Math" w:eastAsiaTheme="minorEastAsia" w:hAnsi="Cambria Math" w:cs="Arial"/>
                      <w:sz w:val="24"/>
                      <w:szCs w:val="24"/>
                      <w:lang w:eastAsia="es-AR"/>
                    </w:rPr>
                    <m:t>t-12</m:t>
                  </m:r>
                </m:sub>
              </m:sSub>
            </m:e>
            <m:sup>
              <m:r>
                <m:rPr>
                  <m:sty m:val="bi"/>
                </m:rPr>
                <w:rPr>
                  <w:rFonts w:ascii="Cambria Math" w:eastAsiaTheme="minorEastAsia" w:hAnsi="Cambria Math" w:cs="Arial"/>
                  <w:sz w:val="24"/>
                  <w:szCs w:val="24"/>
                  <w:lang w:eastAsia="es-AR"/>
                </w:rPr>
                <m:t>*</m:t>
              </m:r>
            </m:sup>
          </m:sSup>
          <m:r>
            <m:rPr>
              <m:sty m:val="bi"/>
            </m:rPr>
            <w:rPr>
              <w:rFonts w:ascii="Cambria Math" w:eastAsiaTheme="minorEastAsia" w:hAnsi="Cambria Math" w:cs="Arial"/>
              <w:sz w:val="24"/>
              <w:szCs w:val="24"/>
              <w:lang w:eastAsia="es-AR"/>
            </w:rPr>
            <m:t>-</m:t>
          </m:r>
          <m:sSub>
            <m:sSubPr>
              <m:ctrlPr>
                <w:rPr>
                  <w:rFonts w:ascii="Cambria Math" w:eastAsiaTheme="minorEastAsia" w:hAnsi="Cambria Math" w:cs="Arial"/>
                  <w:b/>
                  <w:i/>
                  <w:sz w:val="24"/>
                  <w:szCs w:val="24"/>
                  <w:lang w:eastAsia="es-AR"/>
                </w:rPr>
              </m:ctrlPr>
            </m:sSubPr>
            <m:e>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θ</m:t>
                  </m:r>
                </m:e>
                <m:sub>
                  <m:r>
                    <m:rPr>
                      <m:sty m:val="bi"/>
                    </m:rPr>
                    <w:rPr>
                      <w:rFonts w:ascii="Cambria Math" w:eastAsiaTheme="minorEastAsia" w:hAnsi="Cambria Math" w:cs="Arial"/>
                      <w:sz w:val="24"/>
                      <w:szCs w:val="24"/>
                      <w:lang w:eastAsia="es-AR"/>
                    </w:rPr>
                    <m:t>1</m:t>
                  </m:r>
                </m:sub>
              </m:sSub>
              <m:r>
                <m:rPr>
                  <m:sty m:val="bi"/>
                </m:rPr>
                <w:rPr>
                  <w:rFonts w:ascii="Cambria Math" w:eastAsiaTheme="minorEastAsia" w:hAnsi="Cambria Math" w:cs="Arial"/>
                  <w:sz w:val="24"/>
                  <w:szCs w:val="24"/>
                  <w:lang w:eastAsia="es-AR"/>
                </w:rPr>
                <m:t>u</m:t>
              </m:r>
            </m:e>
            <m:sub>
              <m:r>
                <m:rPr>
                  <m:sty m:val="bi"/>
                </m:rPr>
                <w:rPr>
                  <w:rFonts w:ascii="Cambria Math" w:eastAsiaTheme="minorEastAsia" w:hAnsi="Cambria Math" w:cs="Arial"/>
                  <w:sz w:val="24"/>
                  <w:szCs w:val="24"/>
                  <w:lang w:eastAsia="es-AR"/>
                </w:rPr>
                <m:t>t-1</m:t>
              </m:r>
            </m:sub>
          </m:sSub>
          <m:r>
            <m:rPr>
              <m:sty m:val="bi"/>
            </m:rPr>
            <w:rPr>
              <w:rFonts w:ascii="Cambria Math" w:eastAsiaTheme="minorEastAsia" w:hAnsi="Cambria Math" w:cs="Arial"/>
              <w:sz w:val="24"/>
              <w:szCs w:val="24"/>
              <w:lang w:eastAsia="es-AR"/>
            </w:rPr>
            <m:t>-</m:t>
          </m:r>
          <m:sSub>
            <m:sSubPr>
              <m:ctrlPr>
                <w:rPr>
                  <w:rFonts w:ascii="Cambria Math" w:eastAsiaTheme="minorEastAsia" w:hAnsi="Cambria Math" w:cs="Arial"/>
                  <w:b/>
                  <w:i/>
                  <w:sz w:val="24"/>
                  <w:szCs w:val="24"/>
                  <w:lang w:eastAsia="es-AR"/>
                </w:rPr>
              </m:ctrlPr>
            </m:sSubPr>
            <m:e>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θ</m:t>
                  </m:r>
                </m:e>
                <m:sub>
                  <m:r>
                    <m:rPr>
                      <m:sty m:val="bi"/>
                    </m:rPr>
                    <w:rPr>
                      <w:rFonts w:ascii="Cambria Math" w:eastAsiaTheme="minorEastAsia" w:hAnsi="Cambria Math" w:cs="Arial"/>
                      <w:sz w:val="24"/>
                      <w:szCs w:val="24"/>
                      <w:lang w:eastAsia="es-AR"/>
                    </w:rPr>
                    <m:t>4</m:t>
                  </m:r>
                </m:sub>
              </m:sSub>
              <m:r>
                <m:rPr>
                  <m:sty m:val="bi"/>
                </m:rPr>
                <w:rPr>
                  <w:rFonts w:ascii="Cambria Math" w:eastAsiaTheme="minorEastAsia" w:hAnsi="Cambria Math" w:cs="Arial"/>
                  <w:sz w:val="24"/>
                  <w:szCs w:val="24"/>
                  <w:lang w:eastAsia="es-AR"/>
                </w:rPr>
                <m:t>u</m:t>
              </m:r>
            </m:e>
            <m:sub>
              <m:r>
                <m:rPr>
                  <m:sty m:val="bi"/>
                </m:rPr>
                <w:rPr>
                  <w:rFonts w:ascii="Cambria Math" w:eastAsiaTheme="minorEastAsia" w:hAnsi="Cambria Math" w:cs="Arial"/>
                  <w:sz w:val="24"/>
                  <w:szCs w:val="24"/>
                  <w:lang w:eastAsia="es-AR"/>
                </w:rPr>
                <m:t>t-4</m:t>
              </m:r>
            </m:sub>
          </m:sSub>
          <m:r>
            <m:rPr>
              <m:sty m:val="bi"/>
            </m:rPr>
            <w:rPr>
              <w:rFonts w:ascii="Cambria Math" w:eastAsiaTheme="minorEastAsia" w:hAnsi="Cambria Math" w:cs="Arial"/>
              <w:sz w:val="24"/>
              <w:szCs w:val="24"/>
              <w:lang w:eastAsia="es-AR"/>
            </w:rPr>
            <m:t>-</m:t>
          </m:r>
          <m:sSub>
            <m:sSubPr>
              <m:ctrlPr>
                <w:rPr>
                  <w:rFonts w:ascii="Cambria Math" w:eastAsiaTheme="minorEastAsia" w:hAnsi="Cambria Math" w:cs="Arial"/>
                  <w:b/>
                  <w:i/>
                  <w:sz w:val="24"/>
                  <w:szCs w:val="24"/>
                  <w:lang w:eastAsia="es-AR"/>
                </w:rPr>
              </m:ctrlPr>
            </m:sSubPr>
            <m:e>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θ</m:t>
                  </m:r>
                </m:e>
                <m:sub>
                  <m:r>
                    <m:rPr>
                      <m:sty m:val="bi"/>
                    </m:rPr>
                    <w:rPr>
                      <w:rFonts w:ascii="Cambria Math" w:eastAsiaTheme="minorEastAsia" w:hAnsi="Cambria Math" w:cs="Arial"/>
                      <w:sz w:val="24"/>
                      <w:szCs w:val="24"/>
                      <w:lang w:eastAsia="es-AR"/>
                    </w:rPr>
                    <m:t>5</m:t>
                  </m:r>
                </m:sub>
              </m:sSub>
              <m:r>
                <m:rPr>
                  <m:sty m:val="bi"/>
                </m:rPr>
                <w:rPr>
                  <w:rFonts w:ascii="Cambria Math" w:eastAsiaTheme="minorEastAsia" w:hAnsi="Cambria Math" w:cs="Arial"/>
                  <w:sz w:val="24"/>
                  <w:szCs w:val="24"/>
                  <w:lang w:eastAsia="es-AR"/>
                </w:rPr>
                <m:t>u</m:t>
              </m:r>
            </m:e>
            <m:sub>
              <m:r>
                <m:rPr>
                  <m:sty m:val="bi"/>
                </m:rPr>
                <w:rPr>
                  <w:rFonts w:ascii="Cambria Math" w:eastAsiaTheme="minorEastAsia" w:hAnsi="Cambria Math" w:cs="Arial"/>
                  <w:sz w:val="24"/>
                  <w:szCs w:val="24"/>
                  <w:lang w:eastAsia="es-AR"/>
                </w:rPr>
                <m:t>t-5</m:t>
              </m:r>
            </m:sub>
          </m:sSub>
          <m:r>
            <m:rPr>
              <m:sty m:val="bi"/>
            </m:rPr>
            <w:rPr>
              <w:rFonts w:ascii="Cambria Math" w:eastAsiaTheme="minorEastAsia" w:hAnsi="Cambria Math" w:cs="Arial"/>
              <w:sz w:val="24"/>
              <w:szCs w:val="24"/>
              <w:lang w:eastAsia="es-AR"/>
            </w:rPr>
            <m:t>-</m:t>
          </m:r>
          <m:sSub>
            <m:sSubPr>
              <m:ctrlPr>
                <w:rPr>
                  <w:rFonts w:ascii="Cambria Math" w:eastAsiaTheme="minorEastAsia" w:hAnsi="Cambria Math" w:cs="Arial"/>
                  <w:b/>
                  <w:i/>
                  <w:sz w:val="24"/>
                  <w:szCs w:val="24"/>
                  <w:lang w:eastAsia="es-AR"/>
                </w:rPr>
              </m:ctrlPr>
            </m:sSubPr>
            <m:e>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θ</m:t>
                  </m:r>
                </m:e>
                <m:sub>
                  <m:r>
                    <m:rPr>
                      <m:sty m:val="bi"/>
                    </m:rPr>
                    <w:rPr>
                      <w:rFonts w:ascii="Cambria Math" w:eastAsiaTheme="minorEastAsia" w:hAnsi="Cambria Math" w:cs="Arial"/>
                      <w:sz w:val="24"/>
                      <w:szCs w:val="24"/>
                      <w:lang w:eastAsia="es-AR"/>
                    </w:rPr>
                    <m:t>9</m:t>
                  </m:r>
                </m:sub>
              </m:sSub>
              <m:r>
                <m:rPr>
                  <m:sty m:val="bi"/>
                </m:rPr>
                <w:rPr>
                  <w:rFonts w:ascii="Cambria Math" w:eastAsiaTheme="minorEastAsia" w:hAnsi="Cambria Math" w:cs="Arial"/>
                  <w:sz w:val="24"/>
                  <w:szCs w:val="24"/>
                  <w:lang w:eastAsia="es-AR"/>
                </w:rPr>
                <m:t>u</m:t>
              </m:r>
            </m:e>
            <m:sub>
              <m:r>
                <m:rPr>
                  <m:sty m:val="bi"/>
                </m:rPr>
                <w:rPr>
                  <w:rFonts w:ascii="Cambria Math" w:eastAsiaTheme="minorEastAsia" w:hAnsi="Cambria Math" w:cs="Arial"/>
                  <w:sz w:val="24"/>
                  <w:szCs w:val="24"/>
                  <w:lang w:eastAsia="es-AR"/>
                </w:rPr>
                <m:t>t-9</m:t>
              </m:r>
            </m:sub>
          </m:sSub>
          <m:r>
            <m:rPr>
              <m:sty m:val="bi"/>
            </m:rPr>
            <w:rPr>
              <w:rFonts w:ascii="Cambria Math" w:eastAsiaTheme="minorEastAsia" w:hAnsi="Cambria Math" w:cs="Arial"/>
              <w:sz w:val="24"/>
              <w:szCs w:val="24"/>
              <w:lang w:eastAsia="es-AR"/>
            </w:rPr>
            <m:t>+</m:t>
          </m:r>
          <m:sSub>
            <m:sSubPr>
              <m:ctrlPr>
                <w:rPr>
                  <w:rFonts w:ascii="Cambria Math" w:eastAsiaTheme="minorEastAsia" w:hAnsi="Cambria Math" w:cs="Arial"/>
                  <w:b/>
                  <w:i/>
                  <w:sz w:val="24"/>
                  <w:szCs w:val="24"/>
                  <w:lang w:eastAsia="es-AR"/>
                </w:rPr>
              </m:ctrlPr>
            </m:sSubPr>
            <m:e>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µ</m:t>
                  </m:r>
                </m:e>
                <m:sub>
                  <m:r>
                    <m:rPr>
                      <m:sty m:val="bi"/>
                    </m:rPr>
                    <w:rPr>
                      <w:rFonts w:ascii="Cambria Math" w:eastAsiaTheme="minorEastAsia" w:hAnsi="Cambria Math" w:cs="Arial"/>
                      <w:sz w:val="24"/>
                      <w:szCs w:val="24"/>
                      <w:lang w:eastAsia="es-AR"/>
                    </w:rPr>
                    <m:t>1</m:t>
                  </m:r>
                </m:sub>
              </m:sSub>
              <m:r>
                <m:rPr>
                  <m:sty m:val="bi"/>
                </m:rPr>
                <w:rPr>
                  <w:rFonts w:ascii="Cambria Math" w:eastAsiaTheme="minorEastAsia" w:hAnsi="Cambria Math" w:cs="Arial"/>
                  <w:sz w:val="24"/>
                  <w:szCs w:val="24"/>
                  <w:lang w:eastAsia="es-AR"/>
                </w:rPr>
                <m:t>SAR</m:t>
              </m:r>
            </m:e>
            <m:sub>
              <m:r>
                <m:rPr>
                  <m:sty m:val="bi"/>
                </m:rPr>
                <w:rPr>
                  <w:rFonts w:ascii="Cambria Math" w:eastAsiaTheme="minorEastAsia" w:hAnsi="Cambria Math" w:cs="Arial"/>
                  <w:sz w:val="24"/>
                  <w:szCs w:val="24"/>
                  <w:lang w:eastAsia="es-AR"/>
                </w:rPr>
                <m:t>1</m:t>
              </m:r>
            </m:sub>
          </m:sSub>
          <m:r>
            <m:rPr>
              <m:sty m:val="bi"/>
            </m:rPr>
            <w:rPr>
              <w:rFonts w:ascii="Cambria Math" w:eastAsiaTheme="minorEastAsia" w:hAnsi="Cambria Math" w:cs="Arial"/>
              <w:sz w:val="24"/>
              <w:szCs w:val="24"/>
              <w:lang w:eastAsia="es-AR"/>
            </w:rPr>
            <m:t xml:space="preserve">+ </m:t>
          </m:r>
          <m:sSub>
            <m:sSubPr>
              <m:ctrlPr>
                <w:rPr>
                  <w:rFonts w:ascii="Cambria Math" w:eastAsiaTheme="minorEastAsia" w:hAnsi="Cambria Math" w:cs="Arial"/>
                  <w:b/>
                  <w:i/>
                  <w:sz w:val="24"/>
                  <w:szCs w:val="24"/>
                  <w:lang w:eastAsia="es-AR"/>
                </w:rPr>
              </m:ctrlPr>
            </m:sSubPr>
            <m:e>
              <m:r>
                <m:rPr>
                  <m:sty m:val="bi"/>
                </m:rPr>
                <w:rPr>
                  <w:rFonts w:ascii="Cambria Math" w:eastAsiaTheme="minorEastAsia" w:hAnsi="Cambria Math" w:cs="Arial"/>
                  <w:sz w:val="24"/>
                  <w:szCs w:val="24"/>
                  <w:lang w:eastAsia="es-AR"/>
                </w:rPr>
                <m:t>u</m:t>
              </m:r>
            </m:e>
            <m:sub>
              <m:r>
                <m:rPr>
                  <m:sty m:val="bi"/>
                </m:rPr>
                <w:rPr>
                  <w:rFonts w:ascii="Cambria Math" w:eastAsiaTheme="minorEastAsia" w:hAnsi="Cambria Math" w:cs="Arial"/>
                  <w:sz w:val="24"/>
                  <w:szCs w:val="24"/>
                  <w:lang w:eastAsia="es-AR"/>
                </w:rPr>
                <m:t>t</m:t>
              </m:r>
            </m:sub>
          </m:sSub>
          <m:r>
            <m:rPr>
              <m:sty m:val="bi"/>
            </m:rPr>
            <w:rPr>
              <w:rFonts w:ascii="Cambria Math" w:eastAsiaTheme="minorEastAsia" w:hAnsi="Cambria Math" w:cs="Arial"/>
              <w:sz w:val="24"/>
              <w:szCs w:val="24"/>
              <w:lang w:eastAsia="es-AR"/>
            </w:rPr>
            <m:t xml:space="preserve"> </m:t>
          </m:r>
        </m:oMath>
      </m:oMathPara>
    </w:p>
    <w:p w:rsidR="00D97D50" w:rsidRDefault="00CE6437" w:rsidP="00D97D50">
      <w:pPr>
        <w:jc w:val="both"/>
        <w:rPr>
          <w:sz w:val="24"/>
          <w:szCs w:val="24"/>
        </w:rPr>
      </w:pPr>
      <w:r w:rsidRPr="00B42455">
        <w:rPr>
          <w:sz w:val="24"/>
          <w:szCs w:val="24"/>
        </w:rPr>
        <w:t>Donde:</w:t>
      </w:r>
    </w:p>
    <w:p w:rsidR="00CE6437" w:rsidRPr="00B42455" w:rsidRDefault="00AB0E14" w:rsidP="00D97D50">
      <w:pPr>
        <w:jc w:val="both"/>
        <w:rPr>
          <w:sz w:val="24"/>
          <w:szCs w:val="24"/>
        </w:rPr>
      </w:pPr>
      <m:oMath>
        <m:sSub>
          <m:sSubPr>
            <m:ctrlPr>
              <w:rPr>
                <w:rFonts w:ascii="Cambria Math" w:eastAsiaTheme="minorEastAsia" w:hAnsi="Cambria Math" w:cs="Arial"/>
                <w:i/>
                <w:sz w:val="24"/>
                <w:szCs w:val="24"/>
                <w:lang w:eastAsia="es-AR"/>
              </w:rPr>
            </m:ctrlPr>
          </m:sSubPr>
          <m:e>
            <m:r>
              <w:rPr>
                <w:rFonts w:ascii="Cambria Math" w:eastAsiaTheme="minorEastAsia" w:hAnsi="Cambria Math" w:cs="Arial"/>
                <w:sz w:val="24"/>
                <w:szCs w:val="24"/>
                <w:lang w:eastAsia="es-AR"/>
              </w:rPr>
              <m:t>µ</m:t>
            </m:r>
          </m:e>
          <m:sub>
            <m:r>
              <w:rPr>
                <w:rFonts w:ascii="Cambria Math" w:eastAsiaTheme="minorEastAsia" w:hAnsi="Cambria Math" w:cs="Arial"/>
                <w:sz w:val="24"/>
                <w:szCs w:val="24"/>
                <w:lang w:eastAsia="es-AR"/>
              </w:rPr>
              <m:t>1</m:t>
            </m:r>
          </m:sub>
        </m:sSub>
      </m:oMath>
      <w:r w:rsidR="00CE6437" w:rsidRPr="00B42455">
        <w:rPr>
          <w:rFonts w:eastAsiaTheme="minorEastAsia"/>
          <w:sz w:val="24"/>
          <w:szCs w:val="24"/>
          <w:lang w:eastAsia="es-AR"/>
        </w:rPr>
        <w:t xml:space="preserve"> corresponde al coeficiente del término SAR que ajusta estacionalmente en los períodos de enero de cada año, pero con relaciones de tipo ARMA para el ajuste.</w:t>
      </w:r>
    </w:p>
    <w:p w:rsidR="005E3025" w:rsidRPr="00B42455" w:rsidRDefault="005E3025" w:rsidP="005F1E1C">
      <w:pPr>
        <w:jc w:val="both"/>
        <w:rPr>
          <w:sz w:val="24"/>
          <w:szCs w:val="24"/>
        </w:rPr>
      </w:pPr>
      <w:r w:rsidRPr="00B42455">
        <w:rPr>
          <w:sz w:val="24"/>
          <w:szCs w:val="24"/>
        </w:rPr>
        <w:lastRenderedPageBreak/>
        <w:t>Seguidamente se exponen los resultados de la tercer</w:t>
      </w:r>
      <w:r w:rsidR="005C465D" w:rsidRPr="00B42455">
        <w:rPr>
          <w:sz w:val="24"/>
          <w:szCs w:val="24"/>
        </w:rPr>
        <w:t>a</w:t>
      </w:r>
      <w:r w:rsidRPr="00B42455">
        <w:rPr>
          <w:sz w:val="24"/>
          <w:szCs w:val="24"/>
        </w:rPr>
        <w:t xml:space="preserve"> estimación:</w:t>
      </w:r>
    </w:p>
    <w:p w:rsidR="00833434" w:rsidRPr="00B42455" w:rsidRDefault="00833434" w:rsidP="005F1E1C">
      <w:pPr>
        <w:jc w:val="center"/>
        <w:rPr>
          <w:sz w:val="24"/>
          <w:szCs w:val="24"/>
        </w:rPr>
      </w:pPr>
      <w:r w:rsidRPr="00B42455">
        <w:rPr>
          <w:noProof/>
          <w:sz w:val="24"/>
          <w:szCs w:val="24"/>
          <w:lang w:val="es-ES" w:eastAsia="es-ES"/>
        </w:rPr>
        <w:drawing>
          <wp:inline distT="0" distB="0" distL="0" distR="0" wp14:anchorId="3D9B5BE8" wp14:editId="0C219624">
            <wp:extent cx="3038201" cy="4229100"/>
            <wp:effectExtent l="19050" t="19050" r="1016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54467" cy="4251742"/>
                    </a:xfrm>
                    <a:prstGeom prst="rect">
                      <a:avLst/>
                    </a:prstGeom>
                    <a:noFill/>
                    <a:ln>
                      <a:solidFill>
                        <a:schemeClr val="accent1"/>
                      </a:solidFill>
                    </a:ln>
                  </pic:spPr>
                </pic:pic>
              </a:graphicData>
            </a:graphic>
          </wp:inline>
        </w:drawing>
      </w:r>
    </w:p>
    <w:p w:rsidR="005E3025" w:rsidRPr="00B42455" w:rsidRDefault="005E3025" w:rsidP="005F1E1C">
      <w:pPr>
        <w:jc w:val="both"/>
        <w:rPr>
          <w:sz w:val="24"/>
          <w:szCs w:val="24"/>
        </w:rPr>
      </w:pPr>
      <w:r w:rsidRPr="00B42455">
        <w:rPr>
          <w:sz w:val="24"/>
          <w:szCs w:val="24"/>
        </w:rPr>
        <w:t>Los resultados a continuación demuestran que se ha logrado solucionar el problema de normalidad, manteniendo el comportamiento de ruido blanco en los residuos Pero asimismo puede apreciarse la mejora en el correlograma, lo que indica resultados más robustos en los test de Box-Pierce del correlograma. Por estos motivos se propone este modelo como el elegido para explicar al comportamiento de los movimientos de carga y descarga portuarios.</w:t>
      </w:r>
    </w:p>
    <w:p w:rsidR="005E3025" w:rsidRPr="00D97D50" w:rsidRDefault="005E3025" w:rsidP="005F1E1C">
      <w:pPr>
        <w:jc w:val="center"/>
        <w:rPr>
          <w:b/>
          <w:i/>
          <w:sz w:val="24"/>
          <w:szCs w:val="24"/>
          <w:u w:val="single"/>
        </w:rPr>
      </w:pPr>
      <w:r w:rsidRPr="00D97D50">
        <w:rPr>
          <w:b/>
          <w:i/>
          <w:sz w:val="24"/>
          <w:szCs w:val="24"/>
          <w:u w:val="single"/>
        </w:rPr>
        <w:t>Ja</w:t>
      </w:r>
      <w:r w:rsidR="00C50D77" w:rsidRPr="00D97D50">
        <w:rPr>
          <w:b/>
          <w:i/>
          <w:sz w:val="24"/>
          <w:szCs w:val="24"/>
          <w:u w:val="single"/>
        </w:rPr>
        <w:t>r</w:t>
      </w:r>
      <w:r w:rsidRPr="00D97D50">
        <w:rPr>
          <w:b/>
          <w:i/>
          <w:sz w:val="24"/>
          <w:szCs w:val="24"/>
          <w:u w:val="single"/>
        </w:rPr>
        <w:t>que-Bera</w:t>
      </w:r>
    </w:p>
    <w:p w:rsidR="005E3025" w:rsidRPr="00B42455" w:rsidRDefault="005E3025" w:rsidP="005F1E1C">
      <w:pPr>
        <w:jc w:val="center"/>
        <w:rPr>
          <w:sz w:val="24"/>
          <w:szCs w:val="24"/>
          <w:highlight w:val="yellow"/>
        </w:rPr>
      </w:pPr>
      <w:r w:rsidRPr="00B42455">
        <w:rPr>
          <w:noProof/>
          <w:sz w:val="24"/>
          <w:szCs w:val="24"/>
          <w:lang w:val="es-ES" w:eastAsia="es-ES"/>
        </w:rPr>
        <w:drawing>
          <wp:inline distT="0" distB="0" distL="0" distR="0" wp14:anchorId="7F89A696" wp14:editId="5EC8BB95">
            <wp:extent cx="3695700" cy="1695281"/>
            <wp:effectExtent l="19050" t="19050" r="19050" b="196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13027" cy="1703229"/>
                    </a:xfrm>
                    <a:prstGeom prst="rect">
                      <a:avLst/>
                    </a:prstGeom>
                    <a:noFill/>
                    <a:ln>
                      <a:solidFill>
                        <a:schemeClr val="accent1"/>
                      </a:solidFill>
                    </a:ln>
                  </pic:spPr>
                </pic:pic>
              </a:graphicData>
            </a:graphic>
          </wp:inline>
        </w:drawing>
      </w:r>
    </w:p>
    <w:p w:rsidR="005E3025" w:rsidRPr="00D97D50" w:rsidRDefault="005E3025" w:rsidP="005F1E1C">
      <w:pPr>
        <w:jc w:val="center"/>
        <w:rPr>
          <w:b/>
          <w:i/>
          <w:sz w:val="24"/>
          <w:szCs w:val="24"/>
          <w:u w:val="single"/>
        </w:rPr>
      </w:pPr>
      <w:r w:rsidRPr="00D97D50">
        <w:rPr>
          <w:b/>
          <w:i/>
          <w:sz w:val="24"/>
          <w:szCs w:val="24"/>
          <w:u w:val="single"/>
        </w:rPr>
        <w:lastRenderedPageBreak/>
        <w:t xml:space="preserve">Correlograma </w:t>
      </w:r>
      <w:r w:rsidR="00D97D50" w:rsidRPr="00D97D50">
        <w:rPr>
          <w:b/>
          <w:i/>
          <w:sz w:val="24"/>
          <w:szCs w:val="24"/>
          <w:u w:val="single"/>
        </w:rPr>
        <w:t>de los R</w:t>
      </w:r>
      <w:r w:rsidRPr="00D97D50">
        <w:rPr>
          <w:b/>
          <w:i/>
          <w:sz w:val="24"/>
          <w:szCs w:val="24"/>
          <w:u w:val="single"/>
        </w:rPr>
        <w:t>esiduos</w:t>
      </w:r>
      <w:r w:rsidR="000B775B" w:rsidRPr="00D97D50">
        <w:rPr>
          <w:b/>
          <w:i/>
          <w:sz w:val="24"/>
          <w:szCs w:val="24"/>
          <w:u w:val="single"/>
        </w:rPr>
        <w:t xml:space="preserve"> - Test Q de Box-Pierce o Ljung &amp; Box</w:t>
      </w:r>
    </w:p>
    <w:p w:rsidR="005E3025" w:rsidRPr="00B42455" w:rsidRDefault="005E3025" w:rsidP="005F1E1C">
      <w:pPr>
        <w:jc w:val="center"/>
        <w:rPr>
          <w:sz w:val="24"/>
          <w:szCs w:val="24"/>
          <w:highlight w:val="yellow"/>
        </w:rPr>
      </w:pPr>
      <w:r w:rsidRPr="00B42455">
        <w:rPr>
          <w:noProof/>
          <w:sz w:val="24"/>
          <w:szCs w:val="24"/>
          <w:lang w:val="es-ES" w:eastAsia="es-ES"/>
        </w:rPr>
        <w:drawing>
          <wp:inline distT="0" distB="0" distL="0" distR="0" wp14:anchorId="55D11CF8" wp14:editId="525127C4">
            <wp:extent cx="3248025" cy="4328234"/>
            <wp:effectExtent l="19050" t="19050" r="9525" b="152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5943" cy="4338785"/>
                    </a:xfrm>
                    <a:prstGeom prst="rect">
                      <a:avLst/>
                    </a:prstGeom>
                    <a:noFill/>
                    <a:ln>
                      <a:solidFill>
                        <a:schemeClr val="accent1"/>
                      </a:solidFill>
                    </a:ln>
                  </pic:spPr>
                </pic:pic>
              </a:graphicData>
            </a:graphic>
          </wp:inline>
        </w:drawing>
      </w:r>
    </w:p>
    <w:p w:rsidR="0088137C" w:rsidRPr="00B42455" w:rsidRDefault="005E3025" w:rsidP="005F1E1C">
      <w:pPr>
        <w:jc w:val="both"/>
        <w:rPr>
          <w:sz w:val="24"/>
          <w:szCs w:val="24"/>
        </w:rPr>
      </w:pPr>
      <w:r w:rsidRPr="00B42455">
        <w:rPr>
          <w:sz w:val="24"/>
          <w:szCs w:val="24"/>
        </w:rPr>
        <w:t>Para complementar el análisis del ajuste del modelo, se incorporan los resultados siguientes:</w:t>
      </w:r>
    </w:p>
    <w:p w:rsidR="005E3025" w:rsidRPr="00B42455" w:rsidRDefault="005E3025" w:rsidP="005F1E1C">
      <w:pPr>
        <w:jc w:val="center"/>
        <w:rPr>
          <w:sz w:val="24"/>
          <w:szCs w:val="24"/>
        </w:rPr>
      </w:pPr>
      <w:r w:rsidRPr="00B42455">
        <w:rPr>
          <w:noProof/>
          <w:sz w:val="24"/>
          <w:szCs w:val="24"/>
          <w:lang w:val="es-ES" w:eastAsia="es-ES"/>
        </w:rPr>
        <w:drawing>
          <wp:inline distT="0" distB="0" distL="0" distR="0" wp14:anchorId="0E6F6399" wp14:editId="624C8C71">
            <wp:extent cx="3848100" cy="2638447"/>
            <wp:effectExtent l="19050" t="19050" r="19050" b="285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79345" cy="2659870"/>
                    </a:xfrm>
                    <a:prstGeom prst="rect">
                      <a:avLst/>
                    </a:prstGeom>
                    <a:noFill/>
                    <a:ln>
                      <a:solidFill>
                        <a:schemeClr val="accent1"/>
                      </a:solidFill>
                    </a:ln>
                  </pic:spPr>
                </pic:pic>
              </a:graphicData>
            </a:graphic>
          </wp:inline>
        </w:drawing>
      </w:r>
    </w:p>
    <w:p w:rsidR="009F5B8D" w:rsidRPr="00B42455" w:rsidRDefault="005E3025" w:rsidP="00671141">
      <w:pPr>
        <w:rPr>
          <w:sz w:val="24"/>
          <w:szCs w:val="24"/>
        </w:rPr>
      </w:pPr>
      <w:r w:rsidRPr="00B42455">
        <w:rPr>
          <w:sz w:val="24"/>
          <w:szCs w:val="24"/>
        </w:rPr>
        <w:lastRenderedPageBreak/>
        <w:t>Los resultados son sumamente satisfactorios, el ajuste del modelo</w:t>
      </w:r>
      <w:r w:rsidR="00671141">
        <w:rPr>
          <w:sz w:val="24"/>
          <w:szCs w:val="24"/>
        </w:rPr>
        <w:t xml:space="preserve"> a la serie original es robusto y consistente. </w:t>
      </w:r>
      <w:r w:rsidR="005C465D" w:rsidRPr="00B42455">
        <w:rPr>
          <w:sz w:val="24"/>
          <w:szCs w:val="24"/>
        </w:rPr>
        <w:t xml:space="preserve">Para reforzar la selección planteada, se consideraron </w:t>
      </w:r>
      <w:r w:rsidR="009F5B8D" w:rsidRPr="00B42455">
        <w:rPr>
          <w:sz w:val="24"/>
          <w:szCs w:val="24"/>
        </w:rPr>
        <w:t>los criterios de Akaike y Schw</w:t>
      </w:r>
      <w:r w:rsidR="005C465D" w:rsidRPr="00B42455">
        <w:rPr>
          <w:sz w:val="24"/>
          <w:szCs w:val="24"/>
        </w:rPr>
        <w:t>arz, que también indican mejores resultados.</w:t>
      </w:r>
    </w:p>
    <w:p w:rsidR="009F5B8D" w:rsidRPr="00B42455" w:rsidRDefault="005C465D" w:rsidP="005F1E1C">
      <w:pPr>
        <w:jc w:val="both"/>
        <w:rPr>
          <w:sz w:val="24"/>
          <w:szCs w:val="24"/>
        </w:rPr>
      </w:pPr>
      <w:r w:rsidRPr="00B42455">
        <w:rPr>
          <w:sz w:val="24"/>
          <w:szCs w:val="24"/>
        </w:rPr>
        <w:t>En l</w:t>
      </w:r>
      <w:r w:rsidR="009F5B8D" w:rsidRPr="00B42455">
        <w:rPr>
          <w:sz w:val="24"/>
          <w:szCs w:val="24"/>
        </w:rPr>
        <w:t>a ecuación corresponde al modelo econométrico reformulado</w:t>
      </w:r>
      <w:r w:rsidRPr="00B42455">
        <w:rPr>
          <w:sz w:val="24"/>
          <w:szCs w:val="24"/>
        </w:rPr>
        <w:t xml:space="preserve"> que se ha elegido, como en el modelo teórico</w:t>
      </w:r>
      <w:r w:rsidR="009F5B8D" w:rsidRPr="00B42455">
        <w:rPr>
          <w:sz w:val="24"/>
          <w:szCs w:val="24"/>
        </w:rPr>
        <w:t>, las elasticidades ingreso y precio siguen siendo “</w:t>
      </w:r>
      <w:r w:rsidRPr="00B42455">
        <w:rPr>
          <w:sz w:val="24"/>
          <w:szCs w:val="24"/>
        </w:rPr>
        <w:t xml:space="preserve">β” y “θ” respectivamente. </w:t>
      </w:r>
      <w:r w:rsidR="009F5B8D" w:rsidRPr="00B42455">
        <w:rPr>
          <w:sz w:val="24"/>
          <w:szCs w:val="24"/>
        </w:rPr>
        <w:t>Asimismo, los “</w:t>
      </w:r>
      <m:oMath>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i</m:t>
            </m:r>
          </m:sub>
        </m:sSub>
      </m:oMath>
      <w:r w:rsidR="009F5B8D" w:rsidRPr="00B42455">
        <w:rPr>
          <w:sz w:val="24"/>
          <w:szCs w:val="24"/>
        </w:rPr>
        <w:t xml:space="preserve">” corresponden a los coeficientes de intersección diferencial, que captan el efecto diferencial que se produce en </w:t>
      </w:r>
      <w:r w:rsidR="00460ED8" w:rsidRPr="00B42455">
        <w:rPr>
          <w:sz w:val="24"/>
          <w:szCs w:val="24"/>
        </w:rPr>
        <w:t>la AFM</w:t>
      </w:r>
      <w:r w:rsidR="009F5B8D" w:rsidRPr="00B42455">
        <w:rPr>
          <w:sz w:val="24"/>
          <w:szCs w:val="24"/>
        </w:rPr>
        <w:t xml:space="preserve"> durante los meses </w:t>
      </w:r>
      <w:r w:rsidR="00CE6437" w:rsidRPr="00B42455">
        <w:rPr>
          <w:sz w:val="24"/>
          <w:szCs w:val="24"/>
        </w:rPr>
        <w:t>de marzo y noviembre</w:t>
      </w:r>
      <w:r w:rsidR="009F5B8D" w:rsidRPr="00B42455">
        <w:rPr>
          <w:sz w:val="24"/>
          <w:szCs w:val="24"/>
        </w:rPr>
        <w:t xml:space="preserve">. </w:t>
      </w:r>
      <w:r w:rsidR="00CE6437" w:rsidRPr="00B42455">
        <w:rPr>
          <w:sz w:val="24"/>
          <w:szCs w:val="24"/>
        </w:rPr>
        <w:t>Por otro lado, los</w:t>
      </w:r>
      <w:r w:rsidR="009F5B8D" w:rsidRPr="00B42455">
        <w:rPr>
          <w:sz w:val="24"/>
          <w:szCs w:val="24"/>
        </w:rPr>
        <w:t xml:space="preserve"> parámetro</w:t>
      </w:r>
      <w:r w:rsidR="00CE6437" w:rsidRPr="00B42455">
        <w:rPr>
          <w:sz w:val="24"/>
          <w:szCs w:val="24"/>
        </w:rPr>
        <w:t>s</w:t>
      </w:r>
      <w:r w:rsidR="009F5B8D" w:rsidRPr="00B42455">
        <w:rPr>
          <w:sz w:val="24"/>
          <w:szCs w:val="24"/>
        </w:rPr>
        <w:t xml:space="preserve"> </w:t>
      </w:r>
      <m:oMath>
        <m:sSub>
          <m:sSubPr>
            <m:ctrlPr>
              <w:rPr>
                <w:rFonts w:ascii="Cambria Math" w:eastAsiaTheme="minorEastAsia" w:hAnsi="Cambria Math" w:cs="Arial"/>
                <w:i/>
                <w:sz w:val="24"/>
                <w:szCs w:val="24"/>
                <w:lang w:eastAsia="es-AR"/>
              </w:rPr>
            </m:ctrlPr>
          </m:sSubPr>
          <m:e>
            <m:r>
              <w:rPr>
                <w:rFonts w:ascii="Cambria Math" w:eastAsiaTheme="minorEastAsia" w:hAnsi="Cambria Math" w:cs="Arial"/>
                <w:sz w:val="24"/>
                <w:szCs w:val="24"/>
                <w:lang w:eastAsia="es-AR"/>
              </w:rPr>
              <m:t>Ω</m:t>
            </m:r>
          </m:e>
          <m:sub>
            <m:r>
              <w:rPr>
                <w:rFonts w:ascii="Cambria Math" w:eastAsiaTheme="minorEastAsia" w:hAnsi="Cambria Math" w:cs="Arial"/>
                <w:sz w:val="24"/>
                <w:szCs w:val="24"/>
                <w:lang w:eastAsia="es-AR"/>
              </w:rPr>
              <m:t>i</m:t>
            </m:r>
          </m:sub>
        </m:sSub>
      </m:oMath>
      <w:r w:rsidR="009F5B8D" w:rsidRPr="00B42455">
        <w:rPr>
          <w:sz w:val="24"/>
          <w:szCs w:val="24"/>
        </w:rPr>
        <w:t xml:space="preserve"> capta</w:t>
      </w:r>
      <w:r w:rsidR="00CE6437" w:rsidRPr="00B42455">
        <w:rPr>
          <w:sz w:val="24"/>
          <w:szCs w:val="24"/>
        </w:rPr>
        <w:t>n</w:t>
      </w:r>
      <w:r w:rsidR="009F5B8D" w:rsidRPr="00B42455">
        <w:rPr>
          <w:sz w:val="24"/>
          <w:szCs w:val="24"/>
        </w:rPr>
        <w:t xml:space="preserve"> e</w:t>
      </w:r>
      <w:r w:rsidR="00CE6437" w:rsidRPr="00B42455">
        <w:rPr>
          <w:sz w:val="24"/>
          <w:szCs w:val="24"/>
        </w:rPr>
        <w:t>l efecto diferencial datos puntuales, que se consideraron</w:t>
      </w:r>
      <w:r w:rsidR="009F5B8D" w:rsidRPr="00B42455">
        <w:rPr>
          <w:sz w:val="24"/>
          <w:szCs w:val="24"/>
        </w:rPr>
        <w:t xml:space="preserve"> como </w:t>
      </w:r>
      <w:r w:rsidR="00CE6437" w:rsidRPr="00B42455">
        <w:rPr>
          <w:sz w:val="24"/>
          <w:szCs w:val="24"/>
        </w:rPr>
        <w:t>atípicos o “outliers”</w:t>
      </w:r>
      <w:r w:rsidR="009F5B8D" w:rsidRPr="00B42455">
        <w:rPr>
          <w:sz w:val="24"/>
          <w:szCs w:val="24"/>
        </w:rPr>
        <w:t>.</w:t>
      </w:r>
    </w:p>
    <w:p w:rsidR="000B775B" w:rsidRPr="00B42455" w:rsidRDefault="00CE6437" w:rsidP="005F1E1C">
      <w:pPr>
        <w:jc w:val="both"/>
        <w:rPr>
          <w:sz w:val="24"/>
          <w:szCs w:val="24"/>
        </w:rPr>
      </w:pPr>
      <w:r w:rsidRPr="00B42455">
        <w:rPr>
          <w:sz w:val="24"/>
          <w:szCs w:val="24"/>
        </w:rPr>
        <w:t>Luego, los</w:t>
      </w:r>
      <w:r w:rsidR="009F5B8D" w:rsidRPr="00B42455">
        <w:rPr>
          <w:sz w:val="24"/>
          <w:szCs w:val="24"/>
        </w:rPr>
        <w:t xml:space="preserve"> parámetro</w:t>
      </w:r>
      <w:r w:rsidRPr="00B42455">
        <w:rPr>
          <w:sz w:val="24"/>
          <w:szCs w:val="24"/>
        </w:rPr>
        <w:t>s</w:t>
      </w:r>
      <w:r w:rsidR="009F5B8D" w:rsidRPr="00B42455">
        <w:rPr>
          <w:sz w:val="24"/>
          <w:szCs w:val="24"/>
        </w:rPr>
        <w:t xml:space="preserve"> </w:t>
      </w:r>
      <m:oMath>
        <m:sSub>
          <m:sSubPr>
            <m:ctrlPr>
              <w:rPr>
                <w:rFonts w:ascii="Cambria Math" w:eastAsiaTheme="minorEastAsia" w:hAnsi="Cambria Math" w:cs="Arial"/>
                <w:i/>
                <w:sz w:val="24"/>
                <w:szCs w:val="24"/>
                <w:lang w:eastAsia="es-AR"/>
              </w:rPr>
            </m:ctrlPr>
          </m:sSubPr>
          <m:e>
            <m:r>
              <w:rPr>
                <w:rFonts w:ascii="Cambria Math" w:eastAsiaTheme="minorEastAsia" w:hAnsi="Cambria Math" w:cs="Arial"/>
                <w:sz w:val="24"/>
                <w:szCs w:val="24"/>
                <w:lang w:eastAsia="es-AR"/>
              </w:rPr>
              <m:t>ϕ</m:t>
            </m:r>
          </m:e>
          <m:sub>
            <m:r>
              <w:rPr>
                <w:rFonts w:ascii="Cambria Math" w:eastAsiaTheme="minorEastAsia" w:hAnsi="Cambria Math" w:cs="Arial"/>
                <w:sz w:val="24"/>
                <w:szCs w:val="24"/>
                <w:lang w:eastAsia="es-AR"/>
              </w:rPr>
              <m:t>p</m:t>
            </m:r>
          </m:sub>
        </m:sSub>
      </m:oMath>
      <w:r w:rsidRPr="00B42455">
        <w:rPr>
          <w:rFonts w:eastAsiaTheme="minorEastAsia"/>
          <w:sz w:val="24"/>
          <w:szCs w:val="24"/>
          <w:lang w:eastAsia="es-AR"/>
        </w:rPr>
        <w:t xml:space="preserve"> </w:t>
      </w:r>
      <w:r w:rsidR="009F5B8D" w:rsidRPr="00B42455">
        <w:rPr>
          <w:sz w:val="24"/>
          <w:szCs w:val="24"/>
        </w:rPr>
        <w:t>corresponde</w:t>
      </w:r>
      <w:r w:rsidRPr="00B42455">
        <w:rPr>
          <w:sz w:val="24"/>
          <w:szCs w:val="24"/>
        </w:rPr>
        <w:t>n a las componentes autorregresivos AR(p</w:t>
      </w:r>
      <w:r w:rsidR="009F5B8D" w:rsidRPr="00B42455">
        <w:rPr>
          <w:sz w:val="24"/>
          <w:szCs w:val="24"/>
        </w:rPr>
        <w:t>) del modelo, que capta</w:t>
      </w:r>
      <w:r w:rsidRPr="00B42455">
        <w:rPr>
          <w:sz w:val="24"/>
          <w:szCs w:val="24"/>
        </w:rPr>
        <w:t>n</w:t>
      </w:r>
      <w:r w:rsidR="009F5B8D" w:rsidRPr="00B42455">
        <w:rPr>
          <w:sz w:val="24"/>
          <w:szCs w:val="24"/>
        </w:rPr>
        <w:t xml:space="preserve"> efecto</w:t>
      </w:r>
      <w:r w:rsidRPr="00B42455">
        <w:rPr>
          <w:sz w:val="24"/>
          <w:szCs w:val="24"/>
        </w:rPr>
        <w:t>s</w:t>
      </w:r>
      <w:r w:rsidR="009F5B8D" w:rsidRPr="00B42455">
        <w:rPr>
          <w:sz w:val="24"/>
          <w:szCs w:val="24"/>
        </w:rPr>
        <w:t xml:space="preserve"> presente</w:t>
      </w:r>
      <w:r w:rsidRPr="00B42455">
        <w:rPr>
          <w:sz w:val="24"/>
          <w:szCs w:val="24"/>
        </w:rPr>
        <w:t>s</w:t>
      </w:r>
      <w:r w:rsidR="009F5B8D" w:rsidRPr="00B42455">
        <w:rPr>
          <w:sz w:val="24"/>
          <w:szCs w:val="24"/>
        </w:rPr>
        <w:t xml:space="preserve"> de</w:t>
      </w:r>
      <w:r w:rsidRPr="00B42455">
        <w:rPr>
          <w:sz w:val="24"/>
          <w:szCs w:val="24"/>
        </w:rPr>
        <w:t xml:space="preserve"> </w:t>
      </w:r>
      <w:r w:rsidR="009F5B8D" w:rsidRPr="00B42455">
        <w:rPr>
          <w:sz w:val="24"/>
          <w:szCs w:val="24"/>
        </w:rPr>
        <w:t>l</w:t>
      </w:r>
      <w:r w:rsidRPr="00B42455">
        <w:rPr>
          <w:sz w:val="24"/>
          <w:szCs w:val="24"/>
        </w:rPr>
        <w:t>os</w:t>
      </w:r>
      <w:r w:rsidR="009F5B8D" w:rsidRPr="00B42455">
        <w:rPr>
          <w:sz w:val="24"/>
          <w:szCs w:val="24"/>
        </w:rPr>
        <w:t xml:space="preserve"> rezago</w:t>
      </w:r>
      <w:r w:rsidRPr="00B42455">
        <w:rPr>
          <w:sz w:val="24"/>
          <w:szCs w:val="24"/>
        </w:rPr>
        <w:t>s</w:t>
      </w:r>
      <w:r w:rsidR="009F5B8D" w:rsidRPr="00B42455">
        <w:rPr>
          <w:sz w:val="24"/>
          <w:szCs w:val="24"/>
        </w:rPr>
        <w:t xml:space="preserve"> </w:t>
      </w:r>
      <w:r w:rsidRPr="00B42455">
        <w:rPr>
          <w:sz w:val="24"/>
          <w:szCs w:val="24"/>
        </w:rPr>
        <w:t>de orden t-p</w:t>
      </w:r>
      <w:r w:rsidR="009F5B8D" w:rsidRPr="00B42455">
        <w:rPr>
          <w:sz w:val="24"/>
          <w:szCs w:val="24"/>
        </w:rPr>
        <w:t xml:space="preserve"> de la variable regresada; y por otro lado los parámetros </w:t>
      </w:r>
      <m:oMath>
        <m:sSub>
          <m:sSubPr>
            <m:ctrlPr>
              <w:rPr>
                <w:rFonts w:ascii="Cambria Math" w:hAnsi="Cambria Math"/>
                <w:sz w:val="24"/>
                <w:szCs w:val="24"/>
              </w:rPr>
            </m:ctrlPr>
          </m:sSubPr>
          <m:e>
            <m:r>
              <m:rPr>
                <m:sty m:val="p"/>
              </m:rPr>
              <w:rPr>
                <w:rFonts w:ascii="Cambria Math" w:hAnsi="Cambria Math"/>
                <w:sz w:val="24"/>
                <w:szCs w:val="24"/>
              </w:rPr>
              <m:t>"θ</m:t>
            </m:r>
          </m:e>
          <m:sub>
            <m:r>
              <m:rPr>
                <m:sty m:val="p"/>
              </m:rPr>
              <w:rPr>
                <w:rFonts w:ascii="Cambria Math" w:hAnsi="Cambria Math"/>
                <w:sz w:val="24"/>
                <w:szCs w:val="24"/>
              </w:rPr>
              <m:t>q</m:t>
            </m:r>
          </m:sub>
        </m:sSub>
        <m:r>
          <m:rPr>
            <m:sty m:val="p"/>
          </m:rPr>
          <w:rPr>
            <w:rFonts w:ascii="Cambria Math" w:hAnsi="Cambria Math"/>
            <w:sz w:val="24"/>
            <w:szCs w:val="24"/>
          </w:rPr>
          <m:t>"</m:t>
        </m:r>
      </m:oMath>
      <w:r w:rsidR="009F5B8D" w:rsidRPr="00B42455">
        <w:rPr>
          <w:sz w:val="24"/>
          <w:szCs w:val="24"/>
        </w:rPr>
        <w:t xml:space="preserve"> corresponden a las componentes </w:t>
      </w:r>
      <w:r w:rsidRPr="00B42455">
        <w:rPr>
          <w:sz w:val="24"/>
          <w:szCs w:val="24"/>
        </w:rPr>
        <w:t>de medias móviles MA(q)</w:t>
      </w:r>
      <w:r w:rsidR="009F5B8D" w:rsidRPr="00B42455">
        <w:rPr>
          <w:sz w:val="24"/>
          <w:szCs w:val="24"/>
        </w:rPr>
        <w:t>, que captan los efectos rezagados de los residuos</w:t>
      </w:r>
      <w:r w:rsidRPr="00B42455">
        <w:rPr>
          <w:rStyle w:val="Refdenotaalpie"/>
          <w:sz w:val="24"/>
          <w:szCs w:val="24"/>
        </w:rPr>
        <w:footnoteReference w:id="5"/>
      </w:r>
      <w:r w:rsidR="009F5B8D" w:rsidRPr="00B42455">
        <w:rPr>
          <w:sz w:val="24"/>
          <w:szCs w:val="24"/>
        </w:rPr>
        <w:t xml:space="preserve">. </w:t>
      </w:r>
    </w:p>
    <w:p w:rsidR="009F5B8D" w:rsidRPr="00B42455" w:rsidRDefault="009F5B8D" w:rsidP="005F1E1C">
      <w:pPr>
        <w:jc w:val="both"/>
        <w:rPr>
          <w:sz w:val="24"/>
          <w:szCs w:val="24"/>
        </w:rPr>
      </w:pPr>
      <w:r w:rsidRPr="00B42455">
        <w:rPr>
          <w:sz w:val="24"/>
          <w:szCs w:val="24"/>
        </w:rPr>
        <w:t>En principio, el análisis de las raíces del modelo implica que todas se encuentran dentro del círculo unitario, lo que indica que el modelo es estacionario e invertible.</w:t>
      </w:r>
      <w:r w:rsidR="000B775B" w:rsidRPr="00B42455">
        <w:rPr>
          <w:sz w:val="24"/>
          <w:szCs w:val="24"/>
        </w:rPr>
        <w:t xml:space="preserve"> Más adelante se analizará la estacionariedad de las series involucradas y las condiciones de cointegración de las mismas.</w:t>
      </w:r>
    </w:p>
    <w:p w:rsidR="009F5B8D" w:rsidRPr="00B42455" w:rsidRDefault="000B775B" w:rsidP="005F1E1C">
      <w:pPr>
        <w:spacing w:after="0"/>
        <w:jc w:val="center"/>
        <w:rPr>
          <w:rFonts w:cs="Arial"/>
          <w:b/>
          <w:sz w:val="24"/>
          <w:szCs w:val="24"/>
          <w:lang w:eastAsia="es-AR"/>
        </w:rPr>
      </w:pPr>
      <w:r w:rsidRPr="00B42455">
        <w:rPr>
          <w:rFonts w:cs="Arial"/>
          <w:b/>
          <w:noProof/>
          <w:sz w:val="24"/>
          <w:szCs w:val="24"/>
          <w:lang w:val="es-ES" w:eastAsia="es-ES"/>
        </w:rPr>
        <w:drawing>
          <wp:inline distT="0" distB="0" distL="0" distR="0" wp14:anchorId="2DB4BD2B" wp14:editId="09C9E69A">
            <wp:extent cx="2895600" cy="2363247"/>
            <wp:effectExtent l="19050" t="19050" r="19050" b="184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19390" cy="2382663"/>
                    </a:xfrm>
                    <a:prstGeom prst="rect">
                      <a:avLst/>
                    </a:prstGeom>
                    <a:noFill/>
                    <a:ln>
                      <a:solidFill>
                        <a:schemeClr val="accent1"/>
                      </a:solidFill>
                    </a:ln>
                  </pic:spPr>
                </pic:pic>
              </a:graphicData>
            </a:graphic>
          </wp:inline>
        </w:drawing>
      </w:r>
    </w:p>
    <w:p w:rsidR="009F5B8D" w:rsidRPr="00B42455" w:rsidRDefault="009F5B8D" w:rsidP="005F1E1C">
      <w:pPr>
        <w:spacing w:after="0"/>
        <w:jc w:val="both"/>
        <w:rPr>
          <w:rFonts w:cs="Arial"/>
          <w:b/>
          <w:sz w:val="24"/>
          <w:szCs w:val="24"/>
          <w:lang w:eastAsia="es-AR"/>
        </w:rPr>
      </w:pPr>
    </w:p>
    <w:p w:rsidR="000B775B" w:rsidRPr="00B42455" w:rsidRDefault="0088137C" w:rsidP="005F1E1C">
      <w:pPr>
        <w:jc w:val="both"/>
        <w:rPr>
          <w:sz w:val="24"/>
          <w:szCs w:val="24"/>
        </w:rPr>
      </w:pPr>
      <w:r w:rsidRPr="00B42455">
        <w:rPr>
          <w:sz w:val="24"/>
          <w:szCs w:val="24"/>
        </w:rPr>
        <w:t>Observando los valores de los estadísticos y los p-value de los Tests de Significatividad Individual</w:t>
      </w:r>
      <w:r w:rsidRPr="00B42455">
        <w:rPr>
          <w:sz w:val="24"/>
          <w:szCs w:val="24"/>
          <w:vertAlign w:val="superscript"/>
        </w:rPr>
        <w:footnoteReference w:id="6"/>
      </w:r>
      <w:r w:rsidRPr="00B42455">
        <w:rPr>
          <w:sz w:val="24"/>
          <w:szCs w:val="24"/>
        </w:rPr>
        <w:t>, puede decirse que las variables regresoras son todas significativas para explicar el comportamiento de la variable regresada. Asimismo, el Test de Significación Global</w:t>
      </w:r>
      <w:r w:rsidRPr="00B42455">
        <w:rPr>
          <w:sz w:val="24"/>
          <w:szCs w:val="24"/>
          <w:vertAlign w:val="superscript"/>
        </w:rPr>
        <w:footnoteReference w:id="7"/>
      </w:r>
      <w:r w:rsidRPr="00B42455">
        <w:rPr>
          <w:sz w:val="24"/>
          <w:szCs w:val="24"/>
        </w:rPr>
        <w:t xml:space="preserve"> </w:t>
      </w:r>
      <w:r w:rsidRPr="00B42455">
        <w:rPr>
          <w:sz w:val="24"/>
          <w:szCs w:val="24"/>
        </w:rPr>
        <w:lastRenderedPageBreak/>
        <w:t xml:space="preserve">presenta resultados satisfactorios. Los coeficientes son los valores estimados de los verdaderos parámetros poblacionales. </w:t>
      </w:r>
      <w:r w:rsidR="000B775B" w:rsidRPr="00B42455">
        <w:rPr>
          <w:sz w:val="24"/>
          <w:szCs w:val="24"/>
        </w:rPr>
        <w:t xml:space="preserve">Debe destacarse que estos resultados se verificaron para las tres estimaciones realizadas. </w:t>
      </w:r>
    </w:p>
    <w:p w:rsidR="0088137C" w:rsidRPr="00B42455" w:rsidRDefault="000B775B" w:rsidP="005F1E1C">
      <w:pPr>
        <w:jc w:val="both"/>
        <w:rPr>
          <w:sz w:val="24"/>
          <w:szCs w:val="24"/>
        </w:rPr>
      </w:pPr>
      <w:r w:rsidRPr="00B42455">
        <w:rPr>
          <w:sz w:val="24"/>
          <w:szCs w:val="24"/>
        </w:rPr>
        <w:t>Finalmente, si</w:t>
      </w:r>
      <w:r w:rsidR="0088137C" w:rsidRPr="00B42455">
        <w:rPr>
          <w:sz w:val="24"/>
          <w:szCs w:val="24"/>
        </w:rPr>
        <w:t xml:space="preserve"> se </w:t>
      </w:r>
      <w:r w:rsidRPr="00B42455">
        <w:rPr>
          <w:sz w:val="24"/>
          <w:szCs w:val="24"/>
        </w:rPr>
        <w:t>cumplen los supuestos de Gauss-</w:t>
      </w:r>
      <w:r w:rsidR="0088137C" w:rsidRPr="00B42455">
        <w:rPr>
          <w:sz w:val="24"/>
          <w:szCs w:val="24"/>
        </w:rPr>
        <w:t>Markov, estos estimadores presentarán las propiedades MELI, “mejores estimadores linealmente insesgados”, dada la aplicación del Método de Mínimos cuadrados Ordinarios</w:t>
      </w:r>
      <w:r w:rsidR="0088137C" w:rsidRPr="00B42455">
        <w:rPr>
          <w:sz w:val="24"/>
          <w:szCs w:val="24"/>
          <w:vertAlign w:val="superscript"/>
        </w:rPr>
        <w:footnoteReference w:id="8"/>
      </w:r>
      <w:r w:rsidR="0088137C" w:rsidRPr="00B42455">
        <w:rPr>
          <w:sz w:val="24"/>
          <w:szCs w:val="24"/>
        </w:rPr>
        <w:t>. Por tanto deberá verificarse el cumplimiento de dichos supuestos para validar el modelo propuesto.</w:t>
      </w:r>
    </w:p>
    <w:p w:rsidR="000B775B" w:rsidRPr="00D97D50" w:rsidRDefault="000B775B" w:rsidP="005F1E1C">
      <w:pPr>
        <w:jc w:val="both"/>
        <w:rPr>
          <w:b/>
          <w:sz w:val="28"/>
          <w:szCs w:val="28"/>
        </w:rPr>
      </w:pPr>
      <w:r w:rsidRPr="00D97D50">
        <w:rPr>
          <w:b/>
          <w:sz w:val="28"/>
          <w:szCs w:val="28"/>
        </w:rPr>
        <w:t>Verificación de los supuestos de Gauss-Markov</w:t>
      </w:r>
    </w:p>
    <w:p w:rsidR="00C81B18" w:rsidRPr="00B42455" w:rsidRDefault="000B775B" w:rsidP="005F1E1C">
      <w:pPr>
        <w:jc w:val="both"/>
        <w:rPr>
          <w:sz w:val="24"/>
          <w:szCs w:val="24"/>
        </w:rPr>
      </w:pPr>
      <w:r w:rsidRPr="00B42455">
        <w:rPr>
          <w:sz w:val="24"/>
          <w:szCs w:val="24"/>
        </w:rPr>
        <w:t>Adicionalmente, siguiendo con la verificación del modelo planteado se realizaron las pruebas corr</w:t>
      </w:r>
      <w:r w:rsidR="00527BD0" w:rsidRPr="00B42455">
        <w:rPr>
          <w:sz w:val="24"/>
          <w:szCs w:val="24"/>
        </w:rPr>
        <w:t>espondientes sobre los residuos:</w:t>
      </w:r>
      <w:r w:rsidRPr="00B42455">
        <w:rPr>
          <w:sz w:val="24"/>
          <w:szCs w:val="24"/>
        </w:rPr>
        <w:t xml:space="preserve"> </w:t>
      </w:r>
      <w:r w:rsidR="00527BD0" w:rsidRPr="00B42455">
        <w:rPr>
          <w:sz w:val="24"/>
          <w:szCs w:val="24"/>
        </w:rPr>
        <w:t>Breusch-Pagan</w:t>
      </w:r>
      <w:r w:rsidRPr="00B42455">
        <w:rPr>
          <w:sz w:val="24"/>
          <w:szCs w:val="24"/>
        </w:rPr>
        <w:t>-Godfrey, para homoscedasticidad</w:t>
      </w:r>
      <w:r w:rsidR="00C81B18" w:rsidRPr="00B42455">
        <w:rPr>
          <w:sz w:val="24"/>
          <w:szCs w:val="24"/>
        </w:rPr>
        <w:t xml:space="preserve"> y </w:t>
      </w:r>
      <w:r w:rsidR="00527BD0" w:rsidRPr="00B42455">
        <w:rPr>
          <w:sz w:val="24"/>
          <w:szCs w:val="24"/>
        </w:rPr>
        <w:t>Breusch-Godfrey, para correlación serial (LM test)</w:t>
      </w:r>
      <w:r w:rsidR="00C81B18" w:rsidRPr="00B42455">
        <w:rPr>
          <w:sz w:val="24"/>
          <w:szCs w:val="24"/>
        </w:rPr>
        <w:t>. Estas pruebas junto con las realizadas anteriormente aseguran el correcto comportamiento de los residuos del modelo.</w:t>
      </w:r>
    </w:p>
    <w:p w:rsidR="000B775B" w:rsidRPr="00715B76" w:rsidRDefault="000B775B" w:rsidP="005F1E1C">
      <w:pPr>
        <w:jc w:val="center"/>
        <w:rPr>
          <w:b/>
          <w:i/>
          <w:sz w:val="24"/>
          <w:szCs w:val="24"/>
          <w:u w:val="single"/>
        </w:rPr>
      </w:pPr>
      <w:r w:rsidRPr="00715B76">
        <w:rPr>
          <w:b/>
          <w:i/>
          <w:sz w:val="24"/>
          <w:szCs w:val="24"/>
          <w:u w:val="single"/>
        </w:rPr>
        <w:t>Breusch-Pagan-Godfrey</w:t>
      </w:r>
    </w:p>
    <w:p w:rsidR="000B775B" w:rsidRPr="00B42455" w:rsidRDefault="00C81B18" w:rsidP="005F1E1C">
      <w:pPr>
        <w:jc w:val="center"/>
        <w:rPr>
          <w:sz w:val="24"/>
          <w:szCs w:val="24"/>
        </w:rPr>
      </w:pPr>
      <w:r w:rsidRPr="00B42455">
        <w:rPr>
          <w:noProof/>
          <w:sz w:val="24"/>
          <w:szCs w:val="24"/>
          <w:lang w:val="es-ES" w:eastAsia="es-ES"/>
        </w:rPr>
        <w:drawing>
          <wp:inline distT="0" distB="0" distL="0" distR="0" wp14:anchorId="21A05C77" wp14:editId="200815C0">
            <wp:extent cx="4112022" cy="1104900"/>
            <wp:effectExtent l="19050" t="19050" r="22225" b="190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23545" cy="1107996"/>
                    </a:xfrm>
                    <a:prstGeom prst="rect">
                      <a:avLst/>
                    </a:prstGeom>
                    <a:noFill/>
                    <a:ln>
                      <a:solidFill>
                        <a:schemeClr val="accent1"/>
                      </a:solidFill>
                    </a:ln>
                  </pic:spPr>
                </pic:pic>
              </a:graphicData>
            </a:graphic>
          </wp:inline>
        </w:drawing>
      </w:r>
    </w:p>
    <w:p w:rsidR="00C81B18" w:rsidRPr="00715B76" w:rsidRDefault="00C81B18" w:rsidP="005F1E1C">
      <w:pPr>
        <w:jc w:val="center"/>
        <w:rPr>
          <w:b/>
          <w:i/>
          <w:sz w:val="24"/>
          <w:szCs w:val="24"/>
          <w:u w:val="single"/>
        </w:rPr>
      </w:pPr>
      <w:r w:rsidRPr="00715B76">
        <w:rPr>
          <w:b/>
          <w:i/>
          <w:sz w:val="24"/>
          <w:szCs w:val="24"/>
          <w:u w:val="single"/>
        </w:rPr>
        <w:t>Breusch-Godfrey (LM)</w:t>
      </w:r>
    </w:p>
    <w:p w:rsidR="00C81B18" w:rsidRPr="00B42455" w:rsidRDefault="00C81B18" w:rsidP="005F1E1C">
      <w:pPr>
        <w:jc w:val="center"/>
        <w:rPr>
          <w:sz w:val="24"/>
          <w:szCs w:val="24"/>
        </w:rPr>
      </w:pPr>
      <w:r w:rsidRPr="00B42455">
        <w:rPr>
          <w:noProof/>
          <w:sz w:val="24"/>
          <w:szCs w:val="24"/>
          <w:lang w:val="es-ES" w:eastAsia="es-ES"/>
        </w:rPr>
        <w:drawing>
          <wp:inline distT="0" distB="0" distL="0" distR="0" wp14:anchorId="71373C64" wp14:editId="6F14B9C4">
            <wp:extent cx="4210009" cy="933450"/>
            <wp:effectExtent l="19050" t="19050" r="19685" b="190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15435" cy="934653"/>
                    </a:xfrm>
                    <a:prstGeom prst="rect">
                      <a:avLst/>
                    </a:prstGeom>
                    <a:noFill/>
                    <a:ln>
                      <a:solidFill>
                        <a:schemeClr val="accent1"/>
                      </a:solidFill>
                    </a:ln>
                  </pic:spPr>
                </pic:pic>
              </a:graphicData>
            </a:graphic>
          </wp:inline>
        </w:drawing>
      </w:r>
    </w:p>
    <w:p w:rsidR="000B775B" w:rsidRPr="00B42455" w:rsidRDefault="00C81B18" w:rsidP="005F1E1C">
      <w:pPr>
        <w:jc w:val="both"/>
        <w:rPr>
          <w:sz w:val="24"/>
          <w:szCs w:val="24"/>
        </w:rPr>
      </w:pPr>
      <w:r w:rsidRPr="00B42455">
        <w:rPr>
          <w:sz w:val="24"/>
          <w:szCs w:val="24"/>
        </w:rPr>
        <w:t>Los resultados obtenidos son satisfactorios, puede verificarse que no se rechaza la hipótesis nula de homoscedasticidad y tampoco la hipótesis nula de no autocorrelación (esto es consistente con los resultados presentados en el correlograma de los residuos para los test Q).</w:t>
      </w:r>
    </w:p>
    <w:p w:rsidR="00C81B18" w:rsidRPr="00B42455" w:rsidRDefault="00C81B18" w:rsidP="005F1E1C">
      <w:pPr>
        <w:jc w:val="both"/>
        <w:rPr>
          <w:sz w:val="24"/>
          <w:szCs w:val="24"/>
        </w:rPr>
      </w:pPr>
      <w:r w:rsidRPr="00B42455">
        <w:rPr>
          <w:sz w:val="24"/>
          <w:szCs w:val="24"/>
        </w:rPr>
        <w:t xml:space="preserve">Por último, se presenta el análisis de multicolinealidad. Debe destacarse que el problema de la multicolinealidad entre las variables regresoras es un problema de grado, por lo que </w:t>
      </w:r>
      <w:r w:rsidRPr="00B42455">
        <w:rPr>
          <w:sz w:val="24"/>
          <w:szCs w:val="24"/>
        </w:rPr>
        <w:lastRenderedPageBreak/>
        <w:t>se intenta probar que no sea un problema “grave”. Se toma como referencia un Factor Inflacionario de la Varianza de 10.</w:t>
      </w:r>
      <w:r w:rsidRPr="00B42455">
        <w:rPr>
          <w:rStyle w:val="Refdenotaalpie"/>
          <w:sz w:val="24"/>
          <w:szCs w:val="24"/>
        </w:rPr>
        <w:footnoteReference w:id="9"/>
      </w:r>
      <w:r w:rsidRPr="00B42455">
        <w:rPr>
          <w:sz w:val="24"/>
          <w:szCs w:val="24"/>
        </w:rPr>
        <w:t xml:space="preserve"> A continuación los resultados del mismo:</w:t>
      </w:r>
    </w:p>
    <w:p w:rsidR="00C81B18" w:rsidRPr="00B42455" w:rsidRDefault="00C81B18" w:rsidP="005F1E1C">
      <w:pPr>
        <w:jc w:val="center"/>
        <w:rPr>
          <w:sz w:val="24"/>
          <w:szCs w:val="24"/>
        </w:rPr>
      </w:pPr>
      <w:r w:rsidRPr="00B42455">
        <w:rPr>
          <w:noProof/>
          <w:sz w:val="24"/>
          <w:szCs w:val="24"/>
          <w:lang w:val="es-ES" w:eastAsia="es-ES"/>
        </w:rPr>
        <w:drawing>
          <wp:inline distT="0" distB="0" distL="0" distR="0" wp14:anchorId="092794B5" wp14:editId="4E80AB03">
            <wp:extent cx="3291840" cy="3701014"/>
            <wp:effectExtent l="19050" t="19050" r="22860" b="139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16298" cy="3728512"/>
                    </a:xfrm>
                    <a:prstGeom prst="rect">
                      <a:avLst/>
                    </a:prstGeom>
                    <a:noFill/>
                    <a:ln>
                      <a:solidFill>
                        <a:schemeClr val="accent1"/>
                      </a:solidFill>
                    </a:ln>
                  </pic:spPr>
                </pic:pic>
              </a:graphicData>
            </a:graphic>
          </wp:inline>
        </w:drawing>
      </w:r>
    </w:p>
    <w:p w:rsidR="00C81B18" w:rsidRPr="00B42455" w:rsidRDefault="00C81B18" w:rsidP="005F1E1C">
      <w:pPr>
        <w:jc w:val="both"/>
        <w:rPr>
          <w:sz w:val="24"/>
          <w:szCs w:val="24"/>
        </w:rPr>
      </w:pPr>
      <w:r w:rsidRPr="00B42455">
        <w:rPr>
          <w:sz w:val="24"/>
          <w:szCs w:val="24"/>
        </w:rPr>
        <w:t>En función de los resultados puede concluirse que no existe un problema de multicolinealidad grave entre las variables regresoras EMAE y TCN.</w:t>
      </w:r>
    </w:p>
    <w:p w:rsidR="00C81B18" w:rsidRPr="00B42455" w:rsidRDefault="00C81B18" w:rsidP="005F1E1C">
      <w:pPr>
        <w:jc w:val="both"/>
        <w:rPr>
          <w:sz w:val="24"/>
          <w:szCs w:val="24"/>
        </w:rPr>
      </w:pPr>
      <w:r w:rsidRPr="00B42455">
        <w:rPr>
          <w:sz w:val="24"/>
          <w:szCs w:val="24"/>
        </w:rPr>
        <w:t>Debido a lo expuesto, se considera el cumplimiento de todos los supuestos de Gauss-Markov; como así también el cumplimiento del supuesto de normalidad de los residuos que asegura la validez de los resultados de inferencia de los test “t” y “F” que se analizaron también.</w:t>
      </w:r>
    </w:p>
    <w:p w:rsidR="00CF7368" w:rsidRDefault="00CF7368" w:rsidP="005F1E1C">
      <w:pPr>
        <w:jc w:val="center"/>
        <w:rPr>
          <w:b/>
          <w:sz w:val="28"/>
          <w:szCs w:val="28"/>
        </w:rPr>
      </w:pPr>
    </w:p>
    <w:p w:rsidR="00CF7368" w:rsidRDefault="00CF7368" w:rsidP="005F1E1C">
      <w:pPr>
        <w:jc w:val="center"/>
        <w:rPr>
          <w:b/>
          <w:sz w:val="28"/>
          <w:szCs w:val="28"/>
        </w:rPr>
      </w:pPr>
    </w:p>
    <w:p w:rsidR="00CF7368" w:rsidRDefault="00CF7368" w:rsidP="005F1E1C">
      <w:pPr>
        <w:jc w:val="center"/>
        <w:rPr>
          <w:b/>
          <w:sz w:val="28"/>
          <w:szCs w:val="28"/>
        </w:rPr>
      </w:pPr>
    </w:p>
    <w:p w:rsidR="00715B76" w:rsidRDefault="00715B76" w:rsidP="005F1E1C">
      <w:pPr>
        <w:jc w:val="center"/>
        <w:rPr>
          <w:b/>
          <w:sz w:val="28"/>
          <w:szCs w:val="28"/>
        </w:rPr>
      </w:pPr>
    </w:p>
    <w:p w:rsidR="00CF7368" w:rsidRDefault="00CF7368" w:rsidP="005F1E1C">
      <w:pPr>
        <w:jc w:val="center"/>
        <w:rPr>
          <w:b/>
          <w:sz w:val="28"/>
          <w:szCs w:val="28"/>
        </w:rPr>
      </w:pPr>
    </w:p>
    <w:p w:rsidR="0088137C" w:rsidRPr="00746523" w:rsidRDefault="007A2664" w:rsidP="005F1E1C">
      <w:pPr>
        <w:jc w:val="center"/>
        <w:rPr>
          <w:b/>
          <w:sz w:val="28"/>
          <w:szCs w:val="28"/>
          <w:highlight w:val="yellow"/>
        </w:rPr>
      </w:pPr>
      <w:r w:rsidRPr="00746523">
        <w:rPr>
          <w:b/>
          <w:sz w:val="28"/>
          <w:szCs w:val="28"/>
          <w:highlight w:val="yellow"/>
        </w:rPr>
        <w:lastRenderedPageBreak/>
        <w:t>Interpretación de los R</w:t>
      </w:r>
      <w:r w:rsidR="0088137C" w:rsidRPr="00746523">
        <w:rPr>
          <w:b/>
          <w:sz w:val="28"/>
          <w:szCs w:val="28"/>
          <w:highlight w:val="yellow"/>
        </w:rPr>
        <w:t>esultados</w:t>
      </w:r>
      <w:r w:rsidRPr="00746523">
        <w:rPr>
          <w:b/>
          <w:sz w:val="28"/>
          <w:szCs w:val="28"/>
          <w:highlight w:val="yellow"/>
        </w:rPr>
        <w:t xml:space="preserve"> y Conclusiones</w:t>
      </w:r>
    </w:p>
    <w:p w:rsidR="007A2664" w:rsidRPr="00746523" w:rsidRDefault="00715B76" w:rsidP="005F1E1C">
      <w:pPr>
        <w:pStyle w:val="capital"/>
        <w:shd w:val="clear" w:color="auto" w:fill="FFFFFF"/>
        <w:spacing w:after="0" w:line="276" w:lineRule="auto"/>
        <w:jc w:val="both"/>
        <w:textAlignment w:val="baseline"/>
        <w:rPr>
          <w:rFonts w:asciiTheme="minorHAnsi" w:hAnsiTheme="minorHAnsi"/>
          <w:i/>
          <w:color w:val="000000"/>
          <w:highlight w:val="yellow"/>
        </w:rPr>
      </w:pPr>
      <w:r w:rsidRPr="00746523">
        <w:rPr>
          <w:rFonts w:asciiTheme="minorHAnsi" w:hAnsiTheme="minorHAnsi"/>
          <w:i/>
          <w:color w:val="000000"/>
          <w:highlight w:val="yellow"/>
        </w:rPr>
        <w:t>Como resultado de la investigación y las pruebas realizadas e</w:t>
      </w:r>
      <w:r w:rsidR="007A2664" w:rsidRPr="00746523">
        <w:rPr>
          <w:rFonts w:asciiTheme="minorHAnsi" w:hAnsiTheme="minorHAnsi"/>
          <w:i/>
          <w:color w:val="000000"/>
          <w:highlight w:val="yellow"/>
        </w:rPr>
        <w:t xml:space="preserve">n función de la estimación, </w:t>
      </w:r>
      <w:r w:rsidRPr="00746523">
        <w:rPr>
          <w:rFonts w:asciiTheme="minorHAnsi" w:hAnsiTheme="minorHAnsi"/>
          <w:i/>
          <w:color w:val="000000"/>
          <w:highlight w:val="yellow"/>
        </w:rPr>
        <w:t xml:space="preserve">se llega a la conclusión que existe una </w:t>
      </w:r>
      <w:r w:rsidR="007A2664" w:rsidRPr="00746523">
        <w:rPr>
          <w:rFonts w:asciiTheme="minorHAnsi" w:hAnsiTheme="minorHAnsi"/>
          <w:i/>
          <w:color w:val="000000"/>
          <w:highlight w:val="yellow"/>
        </w:rPr>
        <w:t>relación ent</w:t>
      </w:r>
      <w:r w:rsidRPr="00746523">
        <w:rPr>
          <w:rFonts w:asciiTheme="minorHAnsi" w:hAnsiTheme="minorHAnsi"/>
          <w:i/>
          <w:color w:val="000000"/>
          <w:highlight w:val="yellow"/>
        </w:rPr>
        <w:t xml:space="preserve">re la AFM y el tipo de cambio en forma </w:t>
      </w:r>
      <w:r w:rsidR="007A2664" w:rsidRPr="00746523">
        <w:rPr>
          <w:rFonts w:asciiTheme="minorHAnsi" w:hAnsiTheme="minorHAnsi"/>
          <w:i/>
          <w:color w:val="000000"/>
          <w:highlight w:val="yellow"/>
        </w:rPr>
        <w:t xml:space="preserve">positiva e inelástica (elasticidad = 0,13); y </w:t>
      </w:r>
      <w:r w:rsidRPr="00746523">
        <w:rPr>
          <w:rFonts w:asciiTheme="minorHAnsi" w:hAnsiTheme="minorHAnsi"/>
          <w:i/>
          <w:color w:val="000000"/>
          <w:highlight w:val="yellow"/>
        </w:rPr>
        <w:t>que existe una</w:t>
      </w:r>
      <w:r w:rsidR="007A2664" w:rsidRPr="00746523">
        <w:rPr>
          <w:rFonts w:asciiTheme="minorHAnsi" w:hAnsiTheme="minorHAnsi"/>
          <w:i/>
          <w:color w:val="000000"/>
          <w:highlight w:val="yellow"/>
        </w:rPr>
        <w:t xml:space="preserve"> relación </w:t>
      </w:r>
      <w:r w:rsidRPr="00746523">
        <w:rPr>
          <w:rFonts w:asciiTheme="minorHAnsi" w:hAnsiTheme="minorHAnsi"/>
          <w:i/>
          <w:color w:val="000000"/>
          <w:highlight w:val="yellow"/>
        </w:rPr>
        <w:t xml:space="preserve">positiva </w:t>
      </w:r>
      <w:r w:rsidR="007A2664" w:rsidRPr="00746523">
        <w:rPr>
          <w:rFonts w:asciiTheme="minorHAnsi" w:hAnsiTheme="minorHAnsi"/>
          <w:i/>
          <w:color w:val="000000"/>
          <w:highlight w:val="yellow"/>
        </w:rPr>
        <w:t>res</w:t>
      </w:r>
      <w:r w:rsidRPr="00746523">
        <w:rPr>
          <w:rFonts w:asciiTheme="minorHAnsi" w:hAnsiTheme="minorHAnsi"/>
          <w:i/>
          <w:color w:val="000000"/>
          <w:highlight w:val="yellow"/>
        </w:rPr>
        <w:t xml:space="preserve">pecto del nivel de actividad </w:t>
      </w:r>
      <w:r w:rsidR="007A2664" w:rsidRPr="00746523">
        <w:rPr>
          <w:rFonts w:asciiTheme="minorHAnsi" w:hAnsiTheme="minorHAnsi"/>
          <w:i/>
          <w:color w:val="000000"/>
          <w:highlight w:val="yellow"/>
        </w:rPr>
        <w:t>y elástica (elasticidad = 1.97). Por lo tanto, se verifica que ante un incremento de 1% del tipo de cambio la A</w:t>
      </w:r>
      <w:r w:rsidRPr="00746523">
        <w:rPr>
          <w:rFonts w:asciiTheme="minorHAnsi" w:hAnsiTheme="minorHAnsi"/>
          <w:i/>
          <w:color w:val="000000"/>
          <w:highlight w:val="yellow"/>
        </w:rPr>
        <w:t xml:space="preserve">ctividad </w:t>
      </w:r>
      <w:r w:rsidR="007A2664" w:rsidRPr="00746523">
        <w:rPr>
          <w:rFonts w:asciiTheme="minorHAnsi" w:hAnsiTheme="minorHAnsi"/>
          <w:i/>
          <w:color w:val="000000"/>
          <w:highlight w:val="yellow"/>
        </w:rPr>
        <w:t>F</w:t>
      </w:r>
      <w:r w:rsidRPr="00746523">
        <w:rPr>
          <w:rFonts w:asciiTheme="minorHAnsi" w:hAnsiTheme="minorHAnsi"/>
          <w:i/>
          <w:color w:val="000000"/>
          <w:highlight w:val="yellow"/>
        </w:rPr>
        <w:t>luvial y Marítima</w:t>
      </w:r>
      <w:r w:rsidR="007A2664" w:rsidRPr="00746523">
        <w:rPr>
          <w:rFonts w:asciiTheme="minorHAnsi" w:hAnsiTheme="minorHAnsi"/>
          <w:i/>
          <w:color w:val="000000"/>
          <w:highlight w:val="yellow"/>
        </w:rPr>
        <w:t xml:space="preserve"> se incrementa en 0,13%, mientras que ante un incremento del 1% del nivel de actividad la A</w:t>
      </w:r>
      <w:r w:rsidRPr="00746523">
        <w:rPr>
          <w:rFonts w:asciiTheme="minorHAnsi" w:hAnsiTheme="minorHAnsi"/>
          <w:i/>
          <w:color w:val="000000"/>
          <w:highlight w:val="yellow"/>
        </w:rPr>
        <w:t xml:space="preserve">ctividad </w:t>
      </w:r>
      <w:r w:rsidR="007A2664" w:rsidRPr="00746523">
        <w:rPr>
          <w:rFonts w:asciiTheme="minorHAnsi" w:hAnsiTheme="minorHAnsi"/>
          <w:i/>
          <w:color w:val="000000"/>
          <w:highlight w:val="yellow"/>
        </w:rPr>
        <w:t>F</w:t>
      </w:r>
      <w:r w:rsidRPr="00746523">
        <w:rPr>
          <w:rFonts w:asciiTheme="minorHAnsi" w:hAnsiTheme="minorHAnsi"/>
          <w:i/>
          <w:color w:val="000000"/>
          <w:highlight w:val="yellow"/>
        </w:rPr>
        <w:t>luvial y Marítima</w:t>
      </w:r>
      <w:r w:rsidR="007A2664" w:rsidRPr="00746523">
        <w:rPr>
          <w:rFonts w:asciiTheme="minorHAnsi" w:hAnsiTheme="minorHAnsi"/>
          <w:i/>
          <w:color w:val="000000"/>
          <w:highlight w:val="yellow"/>
        </w:rPr>
        <w:t xml:space="preserve"> se incrementa en 1,97%.</w:t>
      </w:r>
    </w:p>
    <w:p w:rsidR="007A2664" w:rsidRPr="00746523" w:rsidRDefault="00715B76" w:rsidP="005F1E1C">
      <w:pPr>
        <w:pStyle w:val="capital"/>
        <w:shd w:val="clear" w:color="auto" w:fill="FFFFFF"/>
        <w:spacing w:before="0" w:beforeAutospacing="0" w:after="0" w:line="276" w:lineRule="auto"/>
        <w:jc w:val="both"/>
        <w:textAlignment w:val="baseline"/>
        <w:rPr>
          <w:rFonts w:asciiTheme="minorHAnsi" w:hAnsiTheme="minorHAnsi"/>
          <w:i/>
          <w:color w:val="000000"/>
          <w:highlight w:val="yellow"/>
        </w:rPr>
      </w:pPr>
      <w:r w:rsidRPr="00746523">
        <w:rPr>
          <w:rFonts w:asciiTheme="minorHAnsi" w:hAnsiTheme="minorHAnsi"/>
          <w:i/>
          <w:color w:val="000000"/>
          <w:highlight w:val="yellow"/>
        </w:rPr>
        <w:t xml:space="preserve">Los resultados obtenidos </w:t>
      </w:r>
      <w:r w:rsidR="005F19D3" w:rsidRPr="00746523">
        <w:rPr>
          <w:rFonts w:asciiTheme="minorHAnsi" w:hAnsiTheme="minorHAnsi"/>
          <w:i/>
          <w:color w:val="000000"/>
          <w:highlight w:val="yellow"/>
        </w:rPr>
        <w:t xml:space="preserve">son representativos, ya que </w:t>
      </w:r>
      <w:r w:rsidR="007A2664" w:rsidRPr="00746523">
        <w:rPr>
          <w:rFonts w:asciiTheme="minorHAnsi" w:hAnsiTheme="minorHAnsi"/>
          <w:i/>
          <w:color w:val="000000"/>
          <w:highlight w:val="yellow"/>
        </w:rPr>
        <w:t>debido a que la mayor parte de las exportaciones son productos agrícolas y el flujo de salida depende de las condiciones y estacionalidades del clima y la tierra; y el flujo de importaciones, cuya mayor participación se vincula a bienes de capital, no se espera sea sensible al tipo de cambio sino mayormente al nivel de actividad. Justamente por ello, puede apreciarse que la A</w:t>
      </w:r>
      <w:r w:rsidR="005F19D3" w:rsidRPr="00746523">
        <w:rPr>
          <w:rFonts w:asciiTheme="minorHAnsi" w:hAnsiTheme="minorHAnsi"/>
          <w:i/>
          <w:color w:val="000000"/>
          <w:highlight w:val="yellow"/>
        </w:rPr>
        <w:t xml:space="preserve">ctividad </w:t>
      </w:r>
      <w:r w:rsidR="007A2664" w:rsidRPr="00746523">
        <w:rPr>
          <w:rFonts w:asciiTheme="minorHAnsi" w:hAnsiTheme="minorHAnsi"/>
          <w:i/>
          <w:color w:val="000000"/>
          <w:highlight w:val="yellow"/>
        </w:rPr>
        <w:t>F</w:t>
      </w:r>
      <w:r w:rsidR="005F19D3" w:rsidRPr="00746523">
        <w:rPr>
          <w:rFonts w:asciiTheme="minorHAnsi" w:hAnsiTheme="minorHAnsi"/>
          <w:i/>
          <w:color w:val="000000"/>
          <w:highlight w:val="yellow"/>
        </w:rPr>
        <w:t>luvial y Marítima</w:t>
      </w:r>
      <w:r w:rsidR="007A2664" w:rsidRPr="00746523">
        <w:rPr>
          <w:rFonts w:asciiTheme="minorHAnsi" w:hAnsiTheme="minorHAnsi"/>
          <w:i/>
          <w:color w:val="000000"/>
          <w:highlight w:val="yellow"/>
        </w:rPr>
        <w:t xml:space="preserve"> es mucho más sensible al nivel de actividad. En este caso, tanto por el incremento de la actividad agropecuaria e industrial, se espera que el flujo comercial se incremente.</w:t>
      </w:r>
    </w:p>
    <w:p w:rsidR="005F19D3" w:rsidRPr="00746523" w:rsidRDefault="005F19D3" w:rsidP="005F19D3">
      <w:pPr>
        <w:pStyle w:val="capital"/>
        <w:shd w:val="clear" w:color="auto" w:fill="FFFFFF"/>
        <w:spacing w:before="0" w:beforeAutospacing="0" w:after="0" w:line="276" w:lineRule="auto"/>
        <w:jc w:val="center"/>
        <w:textAlignment w:val="baseline"/>
        <w:rPr>
          <w:rFonts w:asciiTheme="minorHAnsi" w:hAnsiTheme="minorHAnsi"/>
          <w:b/>
          <w:color w:val="000000"/>
          <w:sz w:val="28"/>
          <w:szCs w:val="28"/>
          <w:highlight w:val="yellow"/>
        </w:rPr>
      </w:pPr>
      <w:r w:rsidRPr="00746523">
        <w:rPr>
          <w:rFonts w:asciiTheme="minorHAnsi" w:hAnsiTheme="minorHAnsi"/>
          <w:b/>
          <w:color w:val="000000"/>
          <w:sz w:val="28"/>
          <w:szCs w:val="28"/>
          <w:highlight w:val="yellow"/>
        </w:rPr>
        <w:t xml:space="preserve">Importancia Índice AFM y su aplicación en el análisis de inversiones en </w:t>
      </w:r>
      <w:r w:rsidR="00796C1E" w:rsidRPr="00746523">
        <w:rPr>
          <w:rFonts w:asciiTheme="minorHAnsi" w:hAnsiTheme="minorHAnsi"/>
          <w:b/>
          <w:color w:val="000000"/>
          <w:sz w:val="28"/>
          <w:szCs w:val="28"/>
          <w:highlight w:val="yellow"/>
        </w:rPr>
        <w:t>Obras de I</w:t>
      </w:r>
      <w:r w:rsidRPr="00746523">
        <w:rPr>
          <w:rFonts w:asciiTheme="minorHAnsi" w:hAnsiTheme="minorHAnsi"/>
          <w:b/>
          <w:color w:val="000000"/>
          <w:sz w:val="28"/>
          <w:szCs w:val="28"/>
          <w:highlight w:val="yellow"/>
        </w:rPr>
        <w:t>nfraestructura.</w:t>
      </w:r>
    </w:p>
    <w:p w:rsidR="005F19D3" w:rsidRPr="00746523" w:rsidRDefault="007A2664" w:rsidP="005F1E1C">
      <w:pPr>
        <w:pStyle w:val="capital"/>
        <w:shd w:val="clear" w:color="auto" w:fill="FFFFFF"/>
        <w:spacing w:before="0" w:beforeAutospacing="0" w:after="0" w:line="276" w:lineRule="auto"/>
        <w:jc w:val="both"/>
        <w:textAlignment w:val="baseline"/>
        <w:rPr>
          <w:rFonts w:asciiTheme="minorHAnsi" w:hAnsiTheme="minorHAnsi"/>
          <w:color w:val="000000"/>
          <w:highlight w:val="yellow"/>
        </w:rPr>
      </w:pPr>
      <w:r w:rsidRPr="00746523">
        <w:rPr>
          <w:rFonts w:asciiTheme="minorHAnsi" w:hAnsiTheme="minorHAnsi"/>
          <w:color w:val="000000"/>
          <w:highlight w:val="yellow"/>
        </w:rPr>
        <w:t xml:space="preserve">Todos los estudios realizados sobre la serie de tiempo representada por la carga y descarga de mercancías y mercaderías, muestran la </w:t>
      </w:r>
      <w:r w:rsidR="005F19D3" w:rsidRPr="00746523">
        <w:rPr>
          <w:rFonts w:asciiTheme="minorHAnsi" w:hAnsiTheme="minorHAnsi"/>
          <w:color w:val="000000"/>
          <w:highlight w:val="yellow"/>
        </w:rPr>
        <w:t>importancia de contar con un índice que mida el nivel de Actividad Fluvial y Marítimo</w:t>
      </w:r>
      <w:r w:rsidRPr="00746523">
        <w:rPr>
          <w:rFonts w:asciiTheme="minorHAnsi" w:hAnsiTheme="minorHAnsi"/>
          <w:color w:val="000000"/>
          <w:highlight w:val="yellow"/>
        </w:rPr>
        <w:t xml:space="preserve">, </w:t>
      </w:r>
      <w:r w:rsidR="005F19D3" w:rsidRPr="00746523">
        <w:rPr>
          <w:rFonts w:asciiTheme="minorHAnsi" w:hAnsiTheme="minorHAnsi"/>
          <w:color w:val="000000"/>
          <w:highlight w:val="yellow"/>
        </w:rPr>
        <w:t xml:space="preserve">el cual, como queda demostrado, </w:t>
      </w:r>
      <w:r w:rsidRPr="00746523">
        <w:rPr>
          <w:rFonts w:asciiTheme="minorHAnsi" w:hAnsiTheme="minorHAnsi"/>
          <w:color w:val="000000"/>
          <w:highlight w:val="yellow"/>
        </w:rPr>
        <w:t xml:space="preserve">brindara </w:t>
      </w:r>
      <w:r w:rsidR="005F19D3" w:rsidRPr="00746523">
        <w:rPr>
          <w:rFonts w:asciiTheme="minorHAnsi" w:hAnsiTheme="minorHAnsi"/>
          <w:color w:val="000000"/>
          <w:highlight w:val="yellow"/>
        </w:rPr>
        <w:t xml:space="preserve">de forma consistente y eficiente </w:t>
      </w:r>
      <w:r w:rsidRPr="00746523">
        <w:rPr>
          <w:rFonts w:asciiTheme="minorHAnsi" w:hAnsiTheme="minorHAnsi"/>
          <w:color w:val="000000"/>
          <w:highlight w:val="yellow"/>
        </w:rPr>
        <w:t xml:space="preserve">la </w:t>
      </w:r>
      <w:r w:rsidR="005F19D3" w:rsidRPr="00746523">
        <w:rPr>
          <w:rFonts w:asciiTheme="minorHAnsi" w:hAnsiTheme="minorHAnsi"/>
          <w:color w:val="000000"/>
          <w:highlight w:val="yellow"/>
        </w:rPr>
        <w:t>evolución porcentual anual, así como los valores mensuales estacionalizados y desestacionalizados</w:t>
      </w:r>
      <w:r w:rsidRPr="00746523">
        <w:rPr>
          <w:rFonts w:asciiTheme="minorHAnsi" w:hAnsiTheme="minorHAnsi"/>
          <w:color w:val="000000"/>
          <w:highlight w:val="yellow"/>
        </w:rPr>
        <w:t xml:space="preserve">.  </w:t>
      </w:r>
    </w:p>
    <w:p w:rsidR="007A2664" w:rsidRPr="00746523" w:rsidRDefault="00796C1E" w:rsidP="005F1E1C">
      <w:pPr>
        <w:pStyle w:val="capital"/>
        <w:shd w:val="clear" w:color="auto" w:fill="FFFFFF"/>
        <w:spacing w:before="0" w:beforeAutospacing="0" w:after="0" w:line="276" w:lineRule="auto"/>
        <w:jc w:val="both"/>
        <w:textAlignment w:val="baseline"/>
        <w:rPr>
          <w:rFonts w:asciiTheme="minorHAnsi" w:hAnsiTheme="minorHAnsi"/>
          <w:color w:val="000000"/>
          <w:highlight w:val="yellow"/>
        </w:rPr>
      </w:pPr>
      <w:r w:rsidRPr="00746523">
        <w:rPr>
          <w:rFonts w:asciiTheme="minorHAnsi" w:hAnsiTheme="minorHAnsi"/>
          <w:color w:val="000000"/>
          <w:highlight w:val="yellow"/>
        </w:rPr>
        <w:t>La creación de este índice permitirá</w:t>
      </w:r>
      <w:r w:rsidR="007A2664" w:rsidRPr="00746523">
        <w:rPr>
          <w:rFonts w:asciiTheme="minorHAnsi" w:hAnsiTheme="minorHAnsi"/>
          <w:color w:val="000000"/>
          <w:highlight w:val="yellow"/>
        </w:rPr>
        <w:t xml:space="preserve"> contar con una valiosa herramienta de análisis cualitativa y cuantitativa con referencia a la evolución de la actividad directa, así como también a las actividades derivadas, tales como son las evaluaciones económicas de infraestructura e inversiones en el área de transporte.</w:t>
      </w:r>
    </w:p>
    <w:p w:rsidR="00746523" w:rsidRPr="00746523" w:rsidRDefault="007A2664" w:rsidP="005F1E1C">
      <w:pPr>
        <w:pStyle w:val="capital"/>
        <w:shd w:val="clear" w:color="auto" w:fill="FFFFFF"/>
        <w:spacing w:before="0" w:beforeAutospacing="0" w:after="0" w:line="276" w:lineRule="auto"/>
        <w:jc w:val="both"/>
        <w:textAlignment w:val="baseline"/>
        <w:rPr>
          <w:rFonts w:asciiTheme="minorHAnsi" w:hAnsiTheme="minorHAnsi"/>
          <w:color w:val="000000"/>
          <w:highlight w:val="yellow"/>
        </w:rPr>
      </w:pPr>
      <w:r w:rsidRPr="00746523">
        <w:rPr>
          <w:rFonts w:asciiTheme="minorHAnsi" w:hAnsiTheme="minorHAnsi"/>
          <w:color w:val="000000"/>
          <w:highlight w:val="yellow"/>
        </w:rPr>
        <w:t>La relación determinada en las elasticidad de las variables explicativas</w:t>
      </w:r>
      <w:r w:rsidR="00C571D4" w:rsidRPr="00746523">
        <w:rPr>
          <w:rFonts w:asciiTheme="minorHAnsi" w:hAnsiTheme="minorHAnsi"/>
          <w:color w:val="000000"/>
          <w:highlight w:val="yellow"/>
        </w:rPr>
        <w:t xml:space="preserve"> en el perí</w:t>
      </w:r>
      <w:r w:rsidR="00D86F8B" w:rsidRPr="00746523">
        <w:rPr>
          <w:rFonts w:asciiTheme="minorHAnsi" w:hAnsiTheme="minorHAnsi"/>
          <w:color w:val="000000"/>
          <w:highlight w:val="yellow"/>
        </w:rPr>
        <w:t>odo estudiado</w:t>
      </w:r>
      <w:r w:rsidRPr="00746523">
        <w:rPr>
          <w:rFonts w:asciiTheme="minorHAnsi" w:hAnsiTheme="minorHAnsi"/>
          <w:color w:val="000000"/>
          <w:highlight w:val="yellow"/>
        </w:rPr>
        <w:t>, sobre todo con referencia al Medidor de Actividad Económica (MAE), muestra que una planificación económ</w:t>
      </w:r>
      <w:r w:rsidR="00C571D4" w:rsidRPr="00746523">
        <w:rPr>
          <w:rFonts w:asciiTheme="minorHAnsi" w:hAnsiTheme="minorHAnsi"/>
          <w:color w:val="000000"/>
          <w:highlight w:val="yellow"/>
        </w:rPr>
        <w:t>ica de crecimiento promedio anual en nuestro país en el período 1961-2017 fue del 2.61</w:t>
      </w:r>
      <w:r w:rsidRPr="00746523">
        <w:rPr>
          <w:rFonts w:asciiTheme="minorHAnsi" w:hAnsiTheme="minorHAnsi"/>
          <w:color w:val="000000"/>
          <w:highlight w:val="yellow"/>
        </w:rPr>
        <w:t xml:space="preserve">% </w:t>
      </w:r>
      <w:r w:rsidR="00C571D4" w:rsidRPr="00746523">
        <w:rPr>
          <w:rFonts w:asciiTheme="minorHAnsi" w:hAnsiTheme="minorHAnsi"/>
          <w:color w:val="000000"/>
          <w:highlight w:val="yellow"/>
        </w:rPr>
        <w:t xml:space="preserve">anual, este crecimiento promedio que es sumamente factible </w:t>
      </w:r>
      <w:r w:rsidRPr="00746523">
        <w:rPr>
          <w:rFonts w:asciiTheme="minorHAnsi" w:hAnsiTheme="minorHAnsi"/>
          <w:color w:val="000000"/>
          <w:highlight w:val="yellow"/>
        </w:rPr>
        <w:t>por el término de 10 años, implicaría en</w:t>
      </w:r>
      <w:r w:rsidR="00C571D4" w:rsidRPr="00746523">
        <w:rPr>
          <w:rFonts w:asciiTheme="minorHAnsi" w:hAnsiTheme="minorHAnsi"/>
          <w:color w:val="000000"/>
          <w:highlight w:val="yellow"/>
        </w:rPr>
        <w:t xml:space="preserve"> forma directa un aumento del 51.43</w:t>
      </w:r>
      <w:r w:rsidRPr="00746523">
        <w:rPr>
          <w:rFonts w:asciiTheme="minorHAnsi" w:hAnsiTheme="minorHAnsi"/>
          <w:color w:val="000000"/>
          <w:highlight w:val="yellow"/>
        </w:rPr>
        <w:t xml:space="preserve">% de la actividad fluvial y marítima en lo concerniente a la carga y descarga de mercadería y mercancías, por tal motivo, </w:t>
      </w:r>
      <w:r w:rsidR="00C571D4" w:rsidRPr="00746523">
        <w:rPr>
          <w:rFonts w:asciiTheme="minorHAnsi" w:hAnsiTheme="minorHAnsi"/>
          <w:color w:val="000000"/>
          <w:highlight w:val="yellow"/>
        </w:rPr>
        <w:t xml:space="preserve">implicaría pasar de un promedio mensual  de 7.698.592 </w:t>
      </w:r>
      <w:r w:rsidR="00746523" w:rsidRPr="00746523">
        <w:rPr>
          <w:rFonts w:asciiTheme="minorHAnsi" w:hAnsiTheme="minorHAnsi"/>
          <w:color w:val="000000"/>
          <w:highlight w:val="yellow"/>
        </w:rPr>
        <w:t>Ton</w:t>
      </w:r>
      <w:r w:rsidR="00C571D4" w:rsidRPr="00746523">
        <w:rPr>
          <w:rFonts w:asciiTheme="minorHAnsi" w:hAnsiTheme="minorHAnsi"/>
          <w:color w:val="000000"/>
          <w:highlight w:val="yellow"/>
        </w:rPr>
        <w:t xml:space="preserve">. </w:t>
      </w:r>
      <w:r w:rsidR="004E114D" w:rsidRPr="00746523">
        <w:rPr>
          <w:rFonts w:asciiTheme="minorHAnsi" w:hAnsiTheme="minorHAnsi"/>
          <w:color w:val="000000"/>
          <w:highlight w:val="yellow"/>
        </w:rPr>
        <w:t>a</w:t>
      </w:r>
      <w:r w:rsidR="00C571D4" w:rsidRPr="00746523">
        <w:rPr>
          <w:rFonts w:asciiTheme="minorHAnsi" w:hAnsiTheme="minorHAnsi"/>
          <w:color w:val="000000"/>
          <w:highlight w:val="yellow"/>
        </w:rPr>
        <w:t xml:space="preserve"> </w:t>
      </w:r>
      <w:r w:rsidR="00C571D4" w:rsidRPr="00746523">
        <w:rPr>
          <w:rFonts w:asciiTheme="minorHAnsi" w:hAnsiTheme="minorHAnsi"/>
          <w:color w:val="000000"/>
          <w:highlight w:val="yellow"/>
        </w:rPr>
        <w:lastRenderedPageBreak/>
        <w:t xml:space="preserve">un total de </w:t>
      </w:r>
      <w:r w:rsidR="004E114D" w:rsidRPr="00746523">
        <w:rPr>
          <w:rFonts w:asciiTheme="minorHAnsi" w:hAnsiTheme="minorHAnsi"/>
          <w:color w:val="000000"/>
          <w:highlight w:val="yellow"/>
        </w:rPr>
        <w:t xml:space="preserve">11.658.335 </w:t>
      </w:r>
      <w:r w:rsidR="00746523" w:rsidRPr="00746523">
        <w:rPr>
          <w:rFonts w:asciiTheme="minorHAnsi" w:hAnsiTheme="minorHAnsi"/>
          <w:color w:val="000000"/>
          <w:highlight w:val="yellow"/>
        </w:rPr>
        <w:t>ton</w:t>
      </w:r>
      <w:r w:rsidR="004E114D" w:rsidRPr="00746523">
        <w:rPr>
          <w:rFonts w:asciiTheme="minorHAnsi" w:hAnsiTheme="minorHAnsi"/>
          <w:color w:val="000000"/>
          <w:highlight w:val="yellow"/>
        </w:rPr>
        <w:t xml:space="preserve">., </w:t>
      </w:r>
      <w:r w:rsidR="00746523" w:rsidRPr="00746523">
        <w:rPr>
          <w:rFonts w:asciiTheme="minorHAnsi" w:hAnsiTheme="minorHAnsi"/>
          <w:color w:val="000000"/>
          <w:highlight w:val="yellow"/>
        </w:rPr>
        <w:t>y</w:t>
      </w:r>
      <w:r w:rsidR="004E114D" w:rsidRPr="00746523">
        <w:rPr>
          <w:rFonts w:asciiTheme="minorHAnsi" w:hAnsiTheme="minorHAnsi"/>
          <w:color w:val="000000"/>
          <w:highlight w:val="yellow"/>
        </w:rPr>
        <w:t xml:space="preserve"> de un promedio anual 92.383.111 </w:t>
      </w:r>
      <w:r w:rsidR="00746523" w:rsidRPr="00746523">
        <w:rPr>
          <w:rFonts w:asciiTheme="minorHAnsi" w:hAnsiTheme="minorHAnsi"/>
          <w:color w:val="000000"/>
          <w:highlight w:val="yellow"/>
        </w:rPr>
        <w:t>ton</w:t>
      </w:r>
      <w:r w:rsidR="004E114D" w:rsidRPr="00746523">
        <w:rPr>
          <w:rFonts w:asciiTheme="minorHAnsi" w:hAnsiTheme="minorHAnsi"/>
          <w:color w:val="000000"/>
          <w:highlight w:val="yellow"/>
        </w:rPr>
        <w:t xml:space="preserve">. a un total de 139.900.023 </w:t>
      </w:r>
      <w:r w:rsidR="00746523" w:rsidRPr="00746523">
        <w:rPr>
          <w:rFonts w:asciiTheme="minorHAnsi" w:hAnsiTheme="minorHAnsi"/>
          <w:color w:val="000000"/>
          <w:highlight w:val="yellow"/>
        </w:rPr>
        <w:t>ton</w:t>
      </w:r>
      <w:r w:rsidR="004E114D" w:rsidRPr="00746523">
        <w:rPr>
          <w:rFonts w:asciiTheme="minorHAnsi" w:hAnsiTheme="minorHAnsi"/>
          <w:color w:val="000000"/>
          <w:highlight w:val="yellow"/>
        </w:rPr>
        <w:t>. al final del ciclo</w:t>
      </w:r>
      <w:r w:rsidR="00746523" w:rsidRPr="00746523">
        <w:rPr>
          <w:rFonts w:asciiTheme="minorHAnsi" w:hAnsiTheme="minorHAnsi"/>
          <w:color w:val="000000"/>
          <w:highlight w:val="yellow"/>
        </w:rPr>
        <w:t>. Como puede apreciarse la conformación del índice y la determinación de las relaciones explicativas del mismo, se transforma en una herramienta esencial para el análisis de las necesidades de infraestructura directa e indirecta para enfrentar dicha tasa de crecimiento de la actividad Fluvial y Marítima.</w:t>
      </w:r>
    </w:p>
    <w:p w:rsidR="004E114D" w:rsidRPr="00746523" w:rsidRDefault="004E114D" w:rsidP="005F1E1C">
      <w:pPr>
        <w:pStyle w:val="capital"/>
        <w:shd w:val="clear" w:color="auto" w:fill="FFFFFF"/>
        <w:spacing w:before="0" w:beforeAutospacing="0" w:after="0" w:line="276" w:lineRule="auto"/>
        <w:jc w:val="both"/>
        <w:textAlignment w:val="baseline"/>
        <w:rPr>
          <w:rFonts w:asciiTheme="minorHAnsi" w:hAnsiTheme="minorHAnsi"/>
          <w:b/>
          <w:color w:val="000000"/>
          <w:highlight w:val="yellow"/>
        </w:rPr>
      </w:pPr>
      <w:r w:rsidRPr="00746523">
        <w:rPr>
          <w:rFonts w:asciiTheme="minorHAnsi" w:hAnsiTheme="minorHAnsi"/>
          <w:b/>
          <w:color w:val="000000"/>
          <w:highlight w:val="yellow"/>
        </w:rPr>
        <w:t xml:space="preserve">Tabla de incremento de la AFM en Toneladas al final de un ciclo de 10 años en relación al EMAE. </w:t>
      </w:r>
    </w:p>
    <w:p w:rsidR="00C571D4" w:rsidRPr="00746523" w:rsidRDefault="00C571D4" w:rsidP="005F1E1C">
      <w:pPr>
        <w:pStyle w:val="capital"/>
        <w:shd w:val="clear" w:color="auto" w:fill="FFFFFF"/>
        <w:spacing w:before="0" w:beforeAutospacing="0" w:after="0" w:line="276" w:lineRule="auto"/>
        <w:jc w:val="both"/>
        <w:textAlignment w:val="baseline"/>
        <w:rPr>
          <w:rFonts w:asciiTheme="minorHAnsi" w:hAnsiTheme="minorHAnsi"/>
          <w:color w:val="000000"/>
          <w:highlight w:val="yellow"/>
        </w:rPr>
      </w:pPr>
      <w:r w:rsidRPr="00746523">
        <w:rPr>
          <w:noProof/>
          <w:highlight w:val="yellow"/>
        </w:rPr>
        <w:drawing>
          <wp:inline distT="0" distB="0" distL="0" distR="0">
            <wp:extent cx="5612130" cy="1548916"/>
            <wp:effectExtent l="0" t="0" r="762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2130" cy="1548916"/>
                    </a:xfrm>
                    <a:prstGeom prst="rect">
                      <a:avLst/>
                    </a:prstGeom>
                    <a:noFill/>
                    <a:ln>
                      <a:noFill/>
                    </a:ln>
                  </pic:spPr>
                </pic:pic>
              </a:graphicData>
            </a:graphic>
          </wp:inline>
        </w:drawing>
      </w:r>
    </w:p>
    <w:p w:rsidR="007A2664" w:rsidRPr="00746523" w:rsidRDefault="007A2664" w:rsidP="005F1E1C">
      <w:pPr>
        <w:pStyle w:val="capital"/>
        <w:shd w:val="clear" w:color="auto" w:fill="FFFFFF"/>
        <w:spacing w:before="0" w:beforeAutospacing="0" w:line="276" w:lineRule="auto"/>
        <w:jc w:val="both"/>
        <w:textAlignment w:val="baseline"/>
        <w:rPr>
          <w:rFonts w:asciiTheme="minorHAnsi" w:hAnsiTheme="minorHAnsi"/>
          <w:color w:val="000000"/>
          <w:highlight w:val="yellow"/>
        </w:rPr>
      </w:pPr>
      <w:r w:rsidRPr="00746523">
        <w:rPr>
          <w:rFonts w:asciiTheme="minorHAnsi" w:hAnsiTheme="minorHAnsi"/>
          <w:color w:val="000000"/>
          <w:highlight w:val="yellow"/>
        </w:rPr>
        <w:t>Este índice y la especificación del modelo econométrico a través de sus variables explicativas,  será de gran utilidad para la evaluación de proyectos de inversión en la actividad portuaria, ya que en la actualidad por no contar con el mismo, ni con estadísticas oficiales, las evaluaciones son parciales y potenciales asociadas a la localización nodular y su zona de influencia, de las misma forma, y con la profundización  de los estudios a partir de la serie construida, se podrá determinar los incrementos e incidencias en las actividades directas de la Prefectura Naval con referencias a sus necesidades presupuestarias, de estructura y elementos necesarios para afrontar las condiciones de crecimiento de la actividad ante los cambios de las condiciones de cambios de la variables económicas analizadas.</w:t>
      </w:r>
    </w:p>
    <w:p w:rsidR="007A2664" w:rsidRPr="00B42455" w:rsidRDefault="007A2664" w:rsidP="005F1E1C">
      <w:pPr>
        <w:pStyle w:val="capital"/>
        <w:shd w:val="clear" w:color="auto" w:fill="FFFFFF"/>
        <w:spacing w:before="0" w:beforeAutospacing="0" w:after="0" w:line="276" w:lineRule="auto"/>
        <w:jc w:val="both"/>
        <w:textAlignment w:val="baseline"/>
        <w:rPr>
          <w:rFonts w:asciiTheme="minorHAnsi" w:hAnsiTheme="minorHAnsi"/>
          <w:color w:val="000000"/>
        </w:rPr>
      </w:pPr>
    </w:p>
    <w:p w:rsidR="007A2664" w:rsidRPr="00B42455" w:rsidRDefault="007A2664" w:rsidP="005F1E1C">
      <w:pPr>
        <w:pStyle w:val="capital"/>
        <w:shd w:val="clear" w:color="auto" w:fill="FFFFFF"/>
        <w:spacing w:before="0" w:beforeAutospacing="0" w:after="0" w:line="276" w:lineRule="auto"/>
        <w:jc w:val="both"/>
        <w:textAlignment w:val="baseline"/>
        <w:rPr>
          <w:rFonts w:asciiTheme="minorHAnsi" w:hAnsiTheme="minorHAnsi"/>
          <w:color w:val="000000"/>
        </w:rPr>
      </w:pPr>
    </w:p>
    <w:p w:rsidR="007A2664" w:rsidRPr="00B42455" w:rsidRDefault="007A2664" w:rsidP="005F1E1C">
      <w:pPr>
        <w:pStyle w:val="capital"/>
        <w:shd w:val="clear" w:color="auto" w:fill="FFFFFF"/>
        <w:spacing w:before="0" w:beforeAutospacing="0" w:after="0" w:afterAutospacing="0" w:line="276" w:lineRule="auto"/>
        <w:textAlignment w:val="baseline"/>
        <w:rPr>
          <w:rFonts w:asciiTheme="minorHAnsi" w:hAnsiTheme="minorHAnsi"/>
          <w:color w:val="000000"/>
        </w:rPr>
      </w:pPr>
    </w:p>
    <w:p w:rsidR="007A2664" w:rsidRPr="00B42455" w:rsidRDefault="007A2664" w:rsidP="005F1E1C">
      <w:pPr>
        <w:pStyle w:val="capital"/>
        <w:shd w:val="clear" w:color="auto" w:fill="FFFFFF"/>
        <w:spacing w:before="0" w:beforeAutospacing="0" w:after="0" w:afterAutospacing="0" w:line="276" w:lineRule="auto"/>
        <w:textAlignment w:val="baseline"/>
        <w:rPr>
          <w:rFonts w:asciiTheme="minorHAnsi" w:hAnsiTheme="minorHAnsi"/>
          <w:color w:val="000000"/>
        </w:rPr>
      </w:pPr>
      <w:r w:rsidRPr="00B42455">
        <w:rPr>
          <w:rFonts w:asciiTheme="minorHAnsi" w:hAnsiTheme="minorHAnsi"/>
          <w:color w:val="000000"/>
        </w:rPr>
        <w:tab/>
      </w:r>
      <w:r w:rsidRPr="00B42455">
        <w:rPr>
          <w:rFonts w:asciiTheme="minorHAnsi" w:hAnsiTheme="minorHAnsi"/>
          <w:color w:val="000000"/>
        </w:rPr>
        <w:tab/>
      </w:r>
      <w:r w:rsidRPr="00B42455">
        <w:rPr>
          <w:rFonts w:asciiTheme="minorHAnsi" w:hAnsiTheme="minorHAnsi"/>
          <w:color w:val="000000"/>
        </w:rPr>
        <w:tab/>
      </w:r>
      <w:r w:rsidRPr="00B42455">
        <w:rPr>
          <w:rFonts w:asciiTheme="minorHAnsi" w:hAnsiTheme="minorHAnsi"/>
          <w:color w:val="000000"/>
        </w:rPr>
        <w:tab/>
      </w:r>
      <w:r w:rsidRPr="00B42455">
        <w:rPr>
          <w:rFonts w:asciiTheme="minorHAnsi" w:hAnsiTheme="minorHAnsi"/>
          <w:color w:val="000000"/>
        </w:rPr>
        <w:tab/>
      </w:r>
      <w:r w:rsidRPr="00B42455">
        <w:rPr>
          <w:rFonts w:asciiTheme="minorHAnsi" w:hAnsiTheme="minorHAnsi"/>
          <w:color w:val="000000"/>
        </w:rPr>
        <w:tab/>
      </w:r>
      <w:r w:rsidRPr="00B42455">
        <w:rPr>
          <w:rFonts w:asciiTheme="minorHAnsi" w:hAnsiTheme="minorHAnsi"/>
          <w:color w:val="000000"/>
        </w:rPr>
        <w:tab/>
        <w:t>Lic. Nicolas Soldatich</w:t>
      </w:r>
    </w:p>
    <w:p w:rsidR="007A2664" w:rsidRPr="00B42455" w:rsidRDefault="007A2664" w:rsidP="005F1E1C">
      <w:pPr>
        <w:pStyle w:val="capital"/>
        <w:shd w:val="clear" w:color="auto" w:fill="FFFFFF"/>
        <w:spacing w:before="0" w:beforeAutospacing="0" w:after="0" w:afterAutospacing="0" w:line="276" w:lineRule="auto"/>
        <w:textAlignment w:val="baseline"/>
        <w:rPr>
          <w:rFonts w:asciiTheme="minorHAnsi" w:hAnsiTheme="minorHAnsi"/>
          <w:color w:val="000000"/>
        </w:rPr>
      </w:pPr>
      <w:r w:rsidRPr="00B42455">
        <w:rPr>
          <w:rFonts w:asciiTheme="minorHAnsi" w:hAnsiTheme="minorHAnsi"/>
          <w:color w:val="000000"/>
        </w:rPr>
        <w:tab/>
      </w:r>
      <w:r w:rsidRPr="00B42455">
        <w:rPr>
          <w:rFonts w:asciiTheme="minorHAnsi" w:hAnsiTheme="minorHAnsi"/>
          <w:color w:val="000000"/>
        </w:rPr>
        <w:tab/>
      </w:r>
      <w:r w:rsidRPr="00B42455">
        <w:rPr>
          <w:rFonts w:asciiTheme="minorHAnsi" w:hAnsiTheme="minorHAnsi"/>
          <w:color w:val="000000"/>
        </w:rPr>
        <w:tab/>
      </w:r>
      <w:r w:rsidRPr="00B42455">
        <w:rPr>
          <w:rFonts w:asciiTheme="minorHAnsi" w:hAnsiTheme="minorHAnsi"/>
          <w:color w:val="000000"/>
        </w:rPr>
        <w:tab/>
      </w:r>
      <w:r w:rsidRPr="00B42455">
        <w:rPr>
          <w:rFonts w:asciiTheme="minorHAnsi" w:hAnsiTheme="minorHAnsi"/>
          <w:color w:val="000000"/>
        </w:rPr>
        <w:tab/>
      </w:r>
      <w:r w:rsidRPr="00B42455">
        <w:rPr>
          <w:rFonts w:asciiTheme="minorHAnsi" w:hAnsiTheme="minorHAnsi"/>
          <w:color w:val="000000"/>
        </w:rPr>
        <w:tab/>
      </w:r>
      <w:r w:rsidRPr="00B42455">
        <w:rPr>
          <w:rFonts w:asciiTheme="minorHAnsi" w:hAnsiTheme="minorHAnsi"/>
          <w:color w:val="000000"/>
        </w:rPr>
        <w:tab/>
        <w:t xml:space="preserve">         Economista</w:t>
      </w:r>
    </w:p>
    <w:p w:rsidR="007A2664" w:rsidRPr="00875DDC" w:rsidRDefault="007A2664" w:rsidP="005F1E1C">
      <w:pPr>
        <w:pStyle w:val="capital"/>
        <w:shd w:val="clear" w:color="auto" w:fill="FFFFFF"/>
        <w:spacing w:before="0" w:beforeAutospacing="0" w:after="0" w:afterAutospacing="0" w:line="276" w:lineRule="auto"/>
        <w:textAlignment w:val="baseline"/>
        <w:rPr>
          <w:rFonts w:asciiTheme="minorHAnsi" w:hAnsiTheme="minorHAnsi"/>
          <w:color w:val="000000"/>
          <w:sz w:val="20"/>
          <w:szCs w:val="20"/>
        </w:rPr>
      </w:pPr>
      <w:r w:rsidRPr="00875DDC">
        <w:rPr>
          <w:rFonts w:asciiTheme="minorHAnsi" w:hAnsiTheme="minorHAnsi"/>
          <w:color w:val="000000"/>
          <w:sz w:val="20"/>
          <w:szCs w:val="20"/>
        </w:rPr>
        <w:t xml:space="preserve">                                                                          </w:t>
      </w:r>
      <w:r w:rsidR="00875DDC">
        <w:rPr>
          <w:rFonts w:asciiTheme="minorHAnsi" w:hAnsiTheme="minorHAnsi"/>
          <w:color w:val="000000"/>
          <w:sz w:val="20"/>
          <w:szCs w:val="20"/>
        </w:rPr>
        <w:tab/>
      </w:r>
      <w:r w:rsidR="00875DDC">
        <w:rPr>
          <w:rFonts w:asciiTheme="minorHAnsi" w:hAnsiTheme="minorHAnsi"/>
          <w:color w:val="000000"/>
          <w:sz w:val="20"/>
          <w:szCs w:val="20"/>
        </w:rPr>
        <w:tab/>
      </w:r>
      <w:r w:rsidRPr="00875DDC">
        <w:rPr>
          <w:rFonts w:asciiTheme="minorHAnsi" w:hAnsiTheme="minorHAnsi"/>
          <w:color w:val="000000"/>
          <w:sz w:val="20"/>
          <w:szCs w:val="20"/>
        </w:rPr>
        <w:t>Profesor de Protección Marítima y Portuaria</w:t>
      </w:r>
    </w:p>
    <w:p w:rsidR="007A2664" w:rsidRPr="00875DDC" w:rsidRDefault="007A2664" w:rsidP="005F1E1C">
      <w:pPr>
        <w:pStyle w:val="capital"/>
        <w:shd w:val="clear" w:color="auto" w:fill="FFFFFF"/>
        <w:spacing w:before="0" w:beforeAutospacing="0" w:after="0" w:afterAutospacing="0" w:line="276" w:lineRule="auto"/>
        <w:textAlignment w:val="baseline"/>
        <w:rPr>
          <w:rFonts w:asciiTheme="minorHAnsi" w:hAnsiTheme="minorHAnsi"/>
          <w:color w:val="000000"/>
          <w:sz w:val="20"/>
          <w:szCs w:val="20"/>
        </w:rPr>
      </w:pPr>
      <w:r w:rsidRPr="00875DDC">
        <w:rPr>
          <w:rFonts w:asciiTheme="minorHAnsi" w:hAnsiTheme="minorHAnsi"/>
          <w:color w:val="000000"/>
          <w:sz w:val="20"/>
          <w:szCs w:val="20"/>
        </w:rPr>
        <w:tab/>
      </w:r>
      <w:r w:rsidRPr="00875DDC">
        <w:rPr>
          <w:rFonts w:asciiTheme="minorHAnsi" w:hAnsiTheme="minorHAnsi"/>
          <w:color w:val="000000"/>
          <w:sz w:val="20"/>
          <w:szCs w:val="20"/>
        </w:rPr>
        <w:tab/>
      </w:r>
      <w:r w:rsidRPr="00875DDC">
        <w:rPr>
          <w:rFonts w:asciiTheme="minorHAnsi" w:hAnsiTheme="minorHAnsi"/>
          <w:color w:val="000000"/>
          <w:sz w:val="20"/>
          <w:szCs w:val="20"/>
        </w:rPr>
        <w:tab/>
      </w:r>
      <w:r w:rsidRPr="00875DDC">
        <w:rPr>
          <w:rFonts w:asciiTheme="minorHAnsi" w:hAnsiTheme="minorHAnsi"/>
          <w:color w:val="000000"/>
          <w:sz w:val="20"/>
          <w:szCs w:val="20"/>
        </w:rPr>
        <w:tab/>
      </w:r>
      <w:r w:rsidRPr="00875DDC">
        <w:rPr>
          <w:rFonts w:asciiTheme="minorHAnsi" w:hAnsiTheme="minorHAnsi"/>
          <w:color w:val="000000"/>
          <w:sz w:val="20"/>
          <w:szCs w:val="20"/>
        </w:rPr>
        <w:tab/>
      </w:r>
      <w:r w:rsidR="00875DDC">
        <w:rPr>
          <w:rFonts w:asciiTheme="minorHAnsi" w:hAnsiTheme="minorHAnsi"/>
          <w:color w:val="000000"/>
          <w:sz w:val="20"/>
          <w:szCs w:val="20"/>
        </w:rPr>
        <w:t xml:space="preserve">           </w:t>
      </w:r>
      <w:r w:rsidRPr="00875DDC">
        <w:rPr>
          <w:rFonts w:asciiTheme="minorHAnsi" w:hAnsiTheme="minorHAnsi"/>
          <w:color w:val="000000"/>
          <w:sz w:val="20"/>
          <w:szCs w:val="20"/>
        </w:rPr>
        <w:t>Departamento Académico Superior de Suboficiales</w:t>
      </w:r>
    </w:p>
    <w:p w:rsidR="00875DDC" w:rsidRPr="00B42455" w:rsidRDefault="00875DDC" w:rsidP="005F1E1C">
      <w:pPr>
        <w:pStyle w:val="capital"/>
        <w:shd w:val="clear" w:color="auto" w:fill="FFFFFF"/>
        <w:spacing w:before="0" w:beforeAutospacing="0" w:after="0" w:afterAutospacing="0" w:line="276" w:lineRule="auto"/>
        <w:textAlignment w:val="baseline"/>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 xml:space="preserve">        Instituto Universitario de Seguridad Marítima</w:t>
      </w:r>
    </w:p>
    <w:p w:rsidR="00EF67B2" w:rsidRPr="00B42455" w:rsidRDefault="00EF67B2" w:rsidP="005F1E1C">
      <w:pPr>
        <w:jc w:val="both"/>
        <w:rPr>
          <w:sz w:val="24"/>
          <w:szCs w:val="24"/>
        </w:rPr>
      </w:pPr>
    </w:p>
    <w:p w:rsidR="00C81B18" w:rsidRPr="00B42455" w:rsidRDefault="0004424B" w:rsidP="005F1E1C">
      <w:pPr>
        <w:rPr>
          <w:b/>
          <w:color w:val="000000" w:themeColor="text1"/>
          <w:sz w:val="24"/>
          <w:szCs w:val="24"/>
        </w:rPr>
      </w:pPr>
      <w:r w:rsidRPr="00B42455">
        <w:rPr>
          <w:b/>
          <w:color w:val="000000" w:themeColor="text1"/>
          <w:sz w:val="24"/>
          <w:szCs w:val="24"/>
        </w:rPr>
        <w:lastRenderedPageBreak/>
        <w:t>Bibliografía</w:t>
      </w:r>
    </w:p>
    <w:p w:rsidR="0004424B" w:rsidRPr="00B42455" w:rsidRDefault="0004424B" w:rsidP="005F1E1C">
      <w:pPr>
        <w:pStyle w:val="Prrafodelista"/>
        <w:numPr>
          <w:ilvl w:val="0"/>
          <w:numId w:val="2"/>
        </w:numPr>
        <w:spacing w:after="0"/>
        <w:jc w:val="both"/>
        <w:rPr>
          <w:rFonts w:eastAsia="Times New Roman" w:cs="Arial"/>
          <w:sz w:val="24"/>
          <w:szCs w:val="24"/>
          <w:lang w:val="en-US" w:eastAsia="es-AR"/>
        </w:rPr>
      </w:pPr>
      <w:r w:rsidRPr="00B42455">
        <w:rPr>
          <w:rFonts w:eastAsia="Times New Roman" w:cs="Arial"/>
          <w:sz w:val="24"/>
          <w:szCs w:val="24"/>
          <w:lang w:val="en-US" w:eastAsia="es-AR"/>
        </w:rPr>
        <w:t xml:space="preserve">Enders, W. (2004): </w:t>
      </w:r>
      <w:r w:rsidRPr="00B42455">
        <w:rPr>
          <w:rFonts w:eastAsia="Times New Roman" w:cs="Arial"/>
          <w:i/>
          <w:sz w:val="24"/>
          <w:szCs w:val="24"/>
          <w:lang w:val="en-US" w:eastAsia="es-AR"/>
        </w:rPr>
        <w:t>“Applied Econometrics Time Series”</w:t>
      </w:r>
      <w:r w:rsidRPr="00B42455">
        <w:rPr>
          <w:rFonts w:eastAsia="Times New Roman" w:cs="Arial"/>
          <w:sz w:val="24"/>
          <w:szCs w:val="24"/>
          <w:lang w:val="en-US" w:eastAsia="es-AR"/>
        </w:rPr>
        <w:t>, John Wiley and Sons, Inc, USA.</w:t>
      </w:r>
    </w:p>
    <w:p w:rsidR="0004424B" w:rsidRPr="00B42455" w:rsidRDefault="0004424B" w:rsidP="005F1E1C">
      <w:pPr>
        <w:pStyle w:val="Prrafodelista"/>
        <w:numPr>
          <w:ilvl w:val="0"/>
          <w:numId w:val="2"/>
        </w:numPr>
        <w:spacing w:after="0"/>
        <w:jc w:val="both"/>
        <w:rPr>
          <w:rFonts w:cs="Arial"/>
          <w:b/>
          <w:sz w:val="24"/>
          <w:szCs w:val="24"/>
          <w:lang w:eastAsia="es-AR"/>
        </w:rPr>
      </w:pPr>
      <w:r w:rsidRPr="00B42455">
        <w:rPr>
          <w:rFonts w:cs="Arial"/>
          <w:sz w:val="24"/>
          <w:szCs w:val="24"/>
        </w:rPr>
        <w:t xml:space="preserve">Gujarati D. (2004): </w:t>
      </w:r>
      <w:r w:rsidRPr="00B42455">
        <w:rPr>
          <w:rFonts w:cs="Arial"/>
          <w:i/>
          <w:sz w:val="24"/>
          <w:szCs w:val="24"/>
        </w:rPr>
        <w:t>“Econometría”</w:t>
      </w:r>
      <w:r w:rsidRPr="00B42455">
        <w:rPr>
          <w:rFonts w:cs="Arial"/>
          <w:sz w:val="24"/>
          <w:szCs w:val="24"/>
        </w:rPr>
        <w:t>, México.</w:t>
      </w:r>
    </w:p>
    <w:p w:rsidR="0004424B" w:rsidRPr="00B42455" w:rsidRDefault="0004424B" w:rsidP="005F1E1C">
      <w:pPr>
        <w:pStyle w:val="Prrafodelista"/>
        <w:numPr>
          <w:ilvl w:val="0"/>
          <w:numId w:val="2"/>
        </w:numPr>
        <w:spacing w:after="0"/>
        <w:jc w:val="both"/>
        <w:rPr>
          <w:rFonts w:cs="Arial"/>
          <w:b/>
          <w:sz w:val="24"/>
          <w:szCs w:val="24"/>
          <w:lang w:eastAsia="es-AR"/>
        </w:rPr>
      </w:pPr>
      <w:r w:rsidRPr="00B42455">
        <w:rPr>
          <w:rFonts w:cs="Arial"/>
          <w:sz w:val="24"/>
          <w:szCs w:val="24"/>
        </w:rPr>
        <w:t xml:space="preserve">Nicholson W. (2006): </w:t>
      </w:r>
      <w:r w:rsidRPr="00B42455">
        <w:rPr>
          <w:rFonts w:cs="Arial"/>
          <w:i/>
          <w:sz w:val="24"/>
          <w:szCs w:val="24"/>
        </w:rPr>
        <w:t>“Teoría Microeconómica. Principios básicos y aplicaciones”</w:t>
      </w:r>
      <w:r w:rsidRPr="00B42455">
        <w:rPr>
          <w:rFonts w:cs="Arial"/>
          <w:sz w:val="24"/>
          <w:szCs w:val="24"/>
        </w:rPr>
        <w:t>, México.</w:t>
      </w:r>
    </w:p>
    <w:p w:rsidR="0004424B" w:rsidRPr="00B42455" w:rsidRDefault="0004424B" w:rsidP="005F1E1C">
      <w:pPr>
        <w:pStyle w:val="Prrafodelista"/>
        <w:numPr>
          <w:ilvl w:val="0"/>
          <w:numId w:val="2"/>
        </w:numPr>
        <w:spacing w:after="0"/>
        <w:jc w:val="both"/>
        <w:rPr>
          <w:rFonts w:cs="Arial"/>
          <w:sz w:val="24"/>
          <w:szCs w:val="24"/>
        </w:rPr>
      </w:pPr>
      <w:r w:rsidRPr="00B42455">
        <w:rPr>
          <w:rFonts w:cs="Arial"/>
          <w:sz w:val="24"/>
          <w:szCs w:val="24"/>
        </w:rPr>
        <w:t xml:space="preserve">Urbisaia H., Brufman J. (2000): </w:t>
      </w:r>
      <w:r w:rsidRPr="00B42455">
        <w:rPr>
          <w:rFonts w:cs="Arial"/>
          <w:i/>
          <w:sz w:val="24"/>
          <w:szCs w:val="24"/>
        </w:rPr>
        <w:t xml:space="preserve">“Análisis de Series de Tiempo. Univariadas y Multivariadas.” </w:t>
      </w:r>
      <w:r w:rsidRPr="00B42455">
        <w:rPr>
          <w:rFonts w:cs="Arial"/>
          <w:sz w:val="24"/>
          <w:szCs w:val="24"/>
        </w:rPr>
        <w:t>Ediciones Cooperativas, Buenos Aires.</w:t>
      </w:r>
    </w:p>
    <w:p w:rsidR="0004424B" w:rsidRPr="00B42455" w:rsidRDefault="0004424B" w:rsidP="005F1E1C">
      <w:pPr>
        <w:pStyle w:val="Prrafodelista"/>
        <w:numPr>
          <w:ilvl w:val="0"/>
          <w:numId w:val="2"/>
        </w:numPr>
        <w:spacing w:after="0"/>
        <w:jc w:val="both"/>
        <w:rPr>
          <w:rFonts w:cs="Arial"/>
          <w:sz w:val="24"/>
          <w:szCs w:val="24"/>
        </w:rPr>
      </w:pPr>
      <w:r w:rsidRPr="00B42455">
        <w:rPr>
          <w:rFonts w:cs="Arial"/>
          <w:sz w:val="24"/>
          <w:szCs w:val="24"/>
        </w:rPr>
        <w:t xml:space="preserve">Novales A. (1993): </w:t>
      </w:r>
      <w:r w:rsidRPr="00B42455">
        <w:rPr>
          <w:rFonts w:cs="Arial"/>
          <w:i/>
          <w:sz w:val="24"/>
          <w:szCs w:val="24"/>
        </w:rPr>
        <w:t>“Econometría”</w:t>
      </w:r>
      <w:r w:rsidRPr="00B42455">
        <w:rPr>
          <w:rFonts w:cs="Arial"/>
          <w:sz w:val="24"/>
          <w:szCs w:val="24"/>
        </w:rPr>
        <w:t>, España. Madrid.</w:t>
      </w:r>
    </w:p>
    <w:p w:rsidR="0004424B" w:rsidRPr="00B42455" w:rsidRDefault="0004424B" w:rsidP="005F1E1C">
      <w:pPr>
        <w:pStyle w:val="Prrafodelista"/>
        <w:numPr>
          <w:ilvl w:val="0"/>
          <w:numId w:val="2"/>
        </w:numPr>
        <w:spacing w:after="0"/>
        <w:jc w:val="both"/>
        <w:rPr>
          <w:rFonts w:eastAsia="Times New Roman" w:cs="Arial"/>
          <w:sz w:val="24"/>
          <w:szCs w:val="24"/>
          <w:lang w:val="en-US" w:eastAsia="es-AR"/>
        </w:rPr>
      </w:pPr>
      <w:r w:rsidRPr="00B42455">
        <w:rPr>
          <w:rFonts w:eastAsia="Times New Roman" w:cs="Arial"/>
          <w:sz w:val="24"/>
          <w:szCs w:val="24"/>
          <w:lang w:val="en-US" w:eastAsia="es-AR"/>
        </w:rPr>
        <w:t xml:space="preserve">Granger, C. and P. Newbold (1974): </w:t>
      </w:r>
      <w:r w:rsidRPr="00B42455">
        <w:rPr>
          <w:rFonts w:eastAsia="Times New Roman" w:cs="Arial"/>
          <w:i/>
          <w:sz w:val="24"/>
          <w:szCs w:val="24"/>
          <w:lang w:val="en-US" w:eastAsia="es-AR"/>
        </w:rPr>
        <w:t>“Spurious regressions in econometrics”</w:t>
      </w:r>
      <w:r w:rsidRPr="00B42455">
        <w:rPr>
          <w:rFonts w:eastAsia="Times New Roman" w:cs="Arial"/>
          <w:sz w:val="24"/>
          <w:szCs w:val="24"/>
          <w:lang w:val="en-US" w:eastAsia="es-AR"/>
        </w:rPr>
        <w:t>, Journal of Econometrics 2,111-120.</w:t>
      </w:r>
    </w:p>
    <w:p w:rsidR="00C81B18" w:rsidRPr="00B42455" w:rsidRDefault="00CE1028" w:rsidP="005F1E1C">
      <w:pPr>
        <w:rPr>
          <w:b/>
          <w:sz w:val="24"/>
          <w:szCs w:val="24"/>
        </w:rPr>
      </w:pPr>
      <w:r w:rsidRPr="00B42455">
        <w:rPr>
          <w:b/>
          <w:sz w:val="24"/>
          <w:szCs w:val="24"/>
          <w:lang w:val="en-US"/>
        </w:rPr>
        <w:t xml:space="preserve">Links </w:t>
      </w:r>
      <w:r w:rsidRPr="00B42455">
        <w:rPr>
          <w:b/>
          <w:sz w:val="24"/>
          <w:szCs w:val="24"/>
        </w:rPr>
        <w:t>utilizados</w:t>
      </w:r>
    </w:p>
    <w:p w:rsidR="00D0247F" w:rsidRPr="00B42455" w:rsidRDefault="00AB0E14" w:rsidP="005F1E1C">
      <w:pPr>
        <w:pStyle w:val="Prrafodelista"/>
        <w:numPr>
          <w:ilvl w:val="0"/>
          <w:numId w:val="3"/>
        </w:numPr>
        <w:rPr>
          <w:sz w:val="24"/>
          <w:szCs w:val="24"/>
        </w:rPr>
      </w:pPr>
      <w:hyperlink r:id="rId40" w:history="1">
        <w:r w:rsidR="00D0247F" w:rsidRPr="00B42455">
          <w:rPr>
            <w:rStyle w:val="Hipervnculo"/>
            <w:sz w:val="24"/>
            <w:szCs w:val="24"/>
          </w:rPr>
          <w:t>https://www.indec.gob.ar/</w:t>
        </w:r>
      </w:hyperlink>
    </w:p>
    <w:p w:rsidR="00D0247F" w:rsidRPr="00B42455" w:rsidRDefault="00AB0E14" w:rsidP="005F1E1C">
      <w:pPr>
        <w:pStyle w:val="Prrafodelista"/>
        <w:numPr>
          <w:ilvl w:val="0"/>
          <w:numId w:val="3"/>
        </w:numPr>
        <w:rPr>
          <w:sz w:val="24"/>
          <w:szCs w:val="24"/>
        </w:rPr>
      </w:pPr>
      <w:hyperlink r:id="rId41" w:history="1">
        <w:r w:rsidR="00D0247F" w:rsidRPr="00B42455">
          <w:rPr>
            <w:rStyle w:val="Hipervnculo"/>
            <w:rFonts w:cs="Arial"/>
            <w:sz w:val="24"/>
            <w:szCs w:val="24"/>
            <w:shd w:val="clear" w:color="auto" w:fill="FFFFFF"/>
          </w:rPr>
          <w:t>www.bcra.gov.ar/</w:t>
        </w:r>
      </w:hyperlink>
    </w:p>
    <w:p w:rsidR="00C81B18" w:rsidRPr="00B42455" w:rsidRDefault="00C81B18" w:rsidP="005F1E1C">
      <w:pPr>
        <w:rPr>
          <w:color w:val="FF0000"/>
          <w:sz w:val="24"/>
          <w:szCs w:val="24"/>
        </w:rPr>
      </w:pPr>
    </w:p>
    <w:p w:rsidR="00757502" w:rsidRPr="00B42455" w:rsidRDefault="00757502" w:rsidP="005F1E1C">
      <w:pPr>
        <w:rPr>
          <w:color w:val="FF0000"/>
          <w:sz w:val="24"/>
          <w:szCs w:val="24"/>
        </w:rPr>
      </w:pPr>
    </w:p>
    <w:p w:rsidR="00757502" w:rsidRPr="00746523" w:rsidRDefault="00757502" w:rsidP="005F1E1C">
      <w:pPr>
        <w:rPr>
          <w:b/>
          <w:color w:val="000000" w:themeColor="text1"/>
          <w:sz w:val="24"/>
          <w:szCs w:val="24"/>
        </w:rPr>
      </w:pPr>
      <w:r w:rsidRPr="00746523">
        <w:rPr>
          <w:b/>
          <w:color w:val="000000" w:themeColor="text1"/>
          <w:sz w:val="24"/>
          <w:szCs w:val="24"/>
        </w:rPr>
        <w:t>Anexo</w:t>
      </w:r>
    </w:p>
    <w:p w:rsidR="00263B81" w:rsidRPr="00B42455" w:rsidRDefault="00BF59BC" w:rsidP="005F1E1C">
      <w:pPr>
        <w:rPr>
          <w:color w:val="000000" w:themeColor="text1"/>
          <w:sz w:val="24"/>
          <w:szCs w:val="24"/>
        </w:rPr>
      </w:pPr>
      <w:r w:rsidRPr="00B42455">
        <w:rPr>
          <w:noProof/>
          <w:sz w:val="24"/>
          <w:szCs w:val="24"/>
          <w:lang w:val="es-ES" w:eastAsia="es-ES"/>
        </w:rPr>
        <w:drawing>
          <wp:inline distT="0" distB="0" distL="0" distR="0" wp14:anchorId="71B2EC28" wp14:editId="2820EA98">
            <wp:extent cx="5612130" cy="1965960"/>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612130" cy="1965960"/>
                    </a:xfrm>
                    <a:prstGeom prst="rect">
                      <a:avLst/>
                    </a:prstGeom>
                  </pic:spPr>
                </pic:pic>
              </a:graphicData>
            </a:graphic>
          </wp:inline>
        </w:drawing>
      </w:r>
    </w:p>
    <w:sectPr w:rsidR="00263B81" w:rsidRPr="00B42455">
      <w:footerReference w:type="default" r:id="rId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E14" w:rsidRDefault="00AB0E14" w:rsidP="00030968">
      <w:pPr>
        <w:spacing w:after="0" w:line="240" w:lineRule="auto"/>
      </w:pPr>
      <w:r>
        <w:separator/>
      </w:r>
    </w:p>
  </w:endnote>
  <w:endnote w:type="continuationSeparator" w:id="0">
    <w:p w:rsidR="00AB0E14" w:rsidRDefault="00AB0E14" w:rsidP="0003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EF2" w:rsidRPr="00B42455" w:rsidRDefault="00571EF2">
    <w:pPr>
      <w:pStyle w:val="Piedepgina"/>
      <w:rPr>
        <w:color w:val="000000" w:themeColor="text1"/>
      </w:rPr>
    </w:pPr>
    <w:r w:rsidRPr="00B42455">
      <w:rPr>
        <w:noProof/>
        <w:color w:val="000000" w:themeColor="text1"/>
        <w:lang w:val="es-ES" w:eastAsia="es-ES"/>
      </w:rPr>
      <mc:AlternateContent>
        <mc:Choice Requires="wps">
          <w:drawing>
            <wp:anchor distT="0" distB="0" distL="114300" distR="114300" simplePos="0" relativeHeight="251659264" behindDoc="0" locked="0" layoutInCell="1" allowOverlap="1" wp14:anchorId="2AD8B24B" wp14:editId="563CA25D">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2E692EB"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938953 [1614]" strokeweight="1.25pt">
              <w10:wrap anchorx="page" anchory="page"/>
            </v:rect>
          </w:pict>
        </mc:Fallback>
      </mc:AlternateContent>
    </w:r>
    <w:r w:rsidRPr="00B42455">
      <w:rPr>
        <w:color w:val="000000" w:themeColor="text1"/>
        <w:lang w:val="es-ES"/>
      </w:rPr>
      <w:t xml:space="preserve"> </w:t>
    </w:r>
    <w:r w:rsidRPr="00B42455">
      <w:rPr>
        <w:rFonts w:asciiTheme="majorHAnsi" w:eastAsiaTheme="majorEastAsia" w:hAnsiTheme="majorHAnsi" w:cstheme="majorBidi"/>
        <w:color w:val="000000" w:themeColor="text1"/>
        <w:sz w:val="20"/>
        <w:szCs w:val="20"/>
        <w:lang w:val="es-ES"/>
      </w:rPr>
      <w:t xml:space="preserve">pág. </w:t>
    </w:r>
    <w:r w:rsidRPr="00B42455">
      <w:rPr>
        <w:rFonts w:eastAsiaTheme="minorEastAsia"/>
        <w:color w:val="000000" w:themeColor="text1"/>
        <w:sz w:val="20"/>
        <w:szCs w:val="20"/>
      </w:rPr>
      <w:fldChar w:fldCharType="begin"/>
    </w:r>
    <w:r w:rsidRPr="00B42455">
      <w:rPr>
        <w:color w:val="000000" w:themeColor="text1"/>
        <w:sz w:val="20"/>
        <w:szCs w:val="20"/>
      </w:rPr>
      <w:instrText>PAGE    \* MERGEFORMAT</w:instrText>
    </w:r>
    <w:r w:rsidRPr="00B42455">
      <w:rPr>
        <w:rFonts w:eastAsiaTheme="minorEastAsia"/>
        <w:color w:val="000000" w:themeColor="text1"/>
        <w:sz w:val="20"/>
        <w:szCs w:val="20"/>
      </w:rPr>
      <w:fldChar w:fldCharType="separate"/>
    </w:r>
    <w:r w:rsidR="009A03B8" w:rsidRPr="009A03B8">
      <w:rPr>
        <w:rFonts w:asciiTheme="majorHAnsi" w:eastAsiaTheme="majorEastAsia" w:hAnsiTheme="majorHAnsi" w:cstheme="majorBidi"/>
        <w:noProof/>
        <w:color w:val="000000" w:themeColor="text1"/>
        <w:sz w:val="20"/>
        <w:szCs w:val="20"/>
        <w:lang w:val="es-ES"/>
      </w:rPr>
      <w:t>18</w:t>
    </w:r>
    <w:r w:rsidRPr="00B42455">
      <w:rPr>
        <w:rFonts w:asciiTheme="majorHAnsi" w:eastAsiaTheme="majorEastAsia" w:hAnsiTheme="majorHAnsi" w:cstheme="majorBidi"/>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E14" w:rsidRDefault="00AB0E14" w:rsidP="00030968">
      <w:pPr>
        <w:spacing w:after="0" w:line="240" w:lineRule="auto"/>
      </w:pPr>
      <w:r>
        <w:separator/>
      </w:r>
    </w:p>
  </w:footnote>
  <w:footnote w:type="continuationSeparator" w:id="0">
    <w:p w:rsidR="00AB0E14" w:rsidRDefault="00AB0E14" w:rsidP="00030968">
      <w:pPr>
        <w:spacing w:after="0" w:line="240" w:lineRule="auto"/>
      </w:pPr>
      <w:r>
        <w:continuationSeparator/>
      </w:r>
    </w:p>
  </w:footnote>
  <w:footnote w:id="1">
    <w:p w:rsidR="00571EF2" w:rsidRDefault="00571EF2">
      <w:pPr>
        <w:pStyle w:val="Textonotapie"/>
      </w:pPr>
      <w:r>
        <w:rPr>
          <w:rStyle w:val="Refdenotaalpie"/>
        </w:rPr>
        <w:footnoteRef/>
      </w:r>
      <w:r>
        <w:t xml:space="preserve"> </w:t>
      </w:r>
      <w:r w:rsidRPr="00CE1028">
        <w:rPr>
          <w:i/>
        </w:rPr>
        <w:t xml:space="preserve">Disponible en: </w:t>
      </w:r>
      <w:r>
        <w:t>&lt;</w:t>
      </w:r>
      <w:r w:rsidRPr="00CE1028">
        <w:t>https://www.indec.gob.ar/</w:t>
      </w:r>
      <w:r>
        <w:t>&gt;</w:t>
      </w:r>
    </w:p>
  </w:footnote>
  <w:footnote w:id="2">
    <w:p w:rsidR="00571EF2" w:rsidRDefault="00571EF2">
      <w:pPr>
        <w:pStyle w:val="Textonotapie"/>
      </w:pPr>
      <w:r>
        <w:rPr>
          <w:rStyle w:val="Refdenotaalpie"/>
        </w:rPr>
        <w:footnoteRef/>
      </w:r>
      <w:r>
        <w:t xml:space="preserve"> </w:t>
      </w:r>
      <w:r w:rsidRPr="00CE1028">
        <w:rPr>
          <w:i/>
        </w:rPr>
        <w:t xml:space="preserve">Disponible en: </w:t>
      </w:r>
      <w:r>
        <w:t>&lt;</w:t>
      </w:r>
      <w:r w:rsidRPr="00CE1028">
        <w:t>https://</w:t>
      </w:r>
      <w:r>
        <w:t>bcra.gov</w:t>
      </w:r>
      <w:r w:rsidRPr="00CE1028">
        <w:t>.ar/</w:t>
      </w:r>
      <w:r>
        <w:t>&gt;</w:t>
      </w:r>
    </w:p>
  </w:footnote>
  <w:footnote w:id="3">
    <w:p w:rsidR="00571EF2" w:rsidRPr="00460ED8" w:rsidRDefault="00571EF2" w:rsidP="00360F7B">
      <w:pPr>
        <w:pStyle w:val="Textonotapie"/>
        <w:rPr>
          <w:rFonts w:cs="Arial"/>
        </w:rPr>
      </w:pPr>
      <w:r w:rsidRPr="00460ED8">
        <w:rPr>
          <w:rStyle w:val="Refdenotaalpie"/>
        </w:rPr>
        <w:footnoteRef/>
      </w:r>
      <w:r w:rsidRPr="00460ED8">
        <w:t xml:space="preserve"> </w:t>
      </w:r>
      <w:r w:rsidRPr="00460ED8">
        <w:rPr>
          <w:rFonts w:cs="Arial"/>
        </w:rPr>
        <w:t xml:space="preserve">Nicholson W. (2006): </w:t>
      </w:r>
      <w:r w:rsidRPr="00460ED8">
        <w:rPr>
          <w:rFonts w:cs="Arial"/>
          <w:i/>
        </w:rPr>
        <w:t>“Teoría Microeconómica. Principios básicos y aplicaciones”</w:t>
      </w:r>
      <w:r w:rsidRPr="00460ED8">
        <w:rPr>
          <w:rFonts w:cs="Arial"/>
        </w:rPr>
        <w:t>, México.</w:t>
      </w:r>
    </w:p>
  </w:footnote>
  <w:footnote w:id="4">
    <w:p w:rsidR="00571EF2" w:rsidRPr="00460ED8" w:rsidRDefault="00571EF2" w:rsidP="00360F7B">
      <w:pPr>
        <w:pStyle w:val="Textonotapie"/>
        <w:jc w:val="both"/>
        <w:rPr>
          <w:rFonts w:eastAsiaTheme="minorEastAsia" w:cs="Arial"/>
        </w:rPr>
      </w:pPr>
      <w:r w:rsidRPr="00460ED8">
        <w:rPr>
          <w:rStyle w:val="Refdenotaalpie"/>
          <w:rFonts w:eastAsiaTheme="minorEastAsia" w:cs="Arial"/>
        </w:rPr>
        <w:footnoteRef/>
      </w:r>
      <w:r w:rsidRPr="00460ED8">
        <w:rPr>
          <w:rFonts w:eastAsiaTheme="minorEastAsia" w:cs="Arial"/>
        </w:rPr>
        <w:t xml:space="preserve"> Gujarati D. (2004): “Econometría”, México.</w:t>
      </w:r>
    </w:p>
  </w:footnote>
  <w:footnote w:id="5">
    <w:p w:rsidR="00571EF2" w:rsidRPr="00460ED8" w:rsidRDefault="00571EF2">
      <w:pPr>
        <w:pStyle w:val="Textonotapie"/>
        <w:rPr>
          <w:sz w:val="16"/>
          <w:szCs w:val="16"/>
        </w:rPr>
      </w:pPr>
      <w:r w:rsidRPr="00460ED8">
        <w:rPr>
          <w:rStyle w:val="Refdenotaalpie"/>
        </w:rPr>
        <w:footnoteRef/>
      </w:r>
      <w:r w:rsidRPr="00460ED8">
        <w:t xml:space="preserve"> </w:t>
      </w:r>
      <w:r w:rsidRPr="00460ED8">
        <w:rPr>
          <w:rFonts w:cs="Arial"/>
          <w:sz w:val="22"/>
          <w:szCs w:val="22"/>
        </w:rPr>
        <w:t>U</w:t>
      </w:r>
      <w:r w:rsidRPr="00460ED8">
        <w:rPr>
          <w:rFonts w:cs="Arial"/>
        </w:rPr>
        <w:t xml:space="preserve">rbisaia H., Brufman J. (2000): </w:t>
      </w:r>
      <w:r w:rsidRPr="00460ED8">
        <w:rPr>
          <w:rFonts w:cs="Arial"/>
          <w:i/>
        </w:rPr>
        <w:t xml:space="preserve">“Análisis de Series de Tiempo. Univariadas y Multivariadas.” </w:t>
      </w:r>
      <w:r w:rsidRPr="00460ED8">
        <w:rPr>
          <w:rFonts w:cs="Arial"/>
        </w:rPr>
        <w:t>Ediciones Cooperativas, Buenos Aires.</w:t>
      </w:r>
    </w:p>
  </w:footnote>
  <w:footnote w:id="6">
    <w:p w:rsidR="00571EF2" w:rsidRPr="00360F7B" w:rsidRDefault="00571EF2" w:rsidP="0088137C">
      <w:pPr>
        <w:pStyle w:val="Textonotapie"/>
        <w:rPr>
          <w:rFonts w:cs="Arial"/>
        </w:rPr>
      </w:pPr>
      <w:r w:rsidRPr="00360F7B">
        <w:rPr>
          <w:rStyle w:val="Refdenotaalpie"/>
          <w:rFonts w:cs="Arial"/>
        </w:rPr>
        <w:footnoteRef/>
      </w:r>
      <w:r w:rsidRPr="00360F7B">
        <w:rPr>
          <w:rFonts w:cs="Arial"/>
        </w:rPr>
        <w:t xml:space="preserve"> Gujarati D. (2004): </w:t>
      </w:r>
      <w:r w:rsidRPr="00360F7B">
        <w:rPr>
          <w:rFonts w:cs="Arial"/>
          <w:i/>
        </w:rPr>
        <w:t>“Econometría”</w:t>
      </w:r>
      <w:r w:rsidRPr="00360F7B">
        <w:rPr>
          <w:rFonts w:cs="Arial"/>
        </w:rPr>
        <w:t>, México.</w:t>
      </w:r>
    </w:p>
  </w:footnote>
  <w:footnote w:id="7">
    <w:p w:rsidR="00571EF2" w:rsidRPr="00360F7B" w:rsidRDefault="00571EF2" w:rsidP="0088137C">
      <w:pPr>
        <w:pStyle w:val="Textonotapie"/>
        <w:rPr>
          <w:rFonts w:cs="Arial"/>
        </w:rPr>
      </w:pPr>
      <w:r w:rsidRPr="00360F7B">
        <w:rPr>
          <w:rStyle w:val="Refdenotaalpie"/>
          <w:rFonts w:cs="Arial"/>
        </w:rPr>
        <w:footnoteRef/>
      </w:r>
      <w:r w:rsidRPr="00360F7B">
        <w:rPr>
          <w:rFonts w:cs="Arial"/>
        </w:rPr>
        <w:t xml:space="preserve"> Op.Cit.</w:t>
      </w:r>
    </w:p>
  </w:footnote>
  <w:footnote w:id="8">
    <w:p w:rsidR="00571EF2" w:rsidRPr="00360F7B" w:rsidRDefault="00571EF2" w:rsidP="0088137C">
      <w:pPr>
        <w:pStyle w:val="Textonotapie"/>
      </w:pPr>
      <w:r w:rsidRPr="00360F7B">
        <w:rPr>
          <w:rStyle w:val="Refdenotaalpie"/>
        </w:rPr>
        <w:footnoteRef/>
      </w:r>
      <w:r w:rsidRPr="00360F7B">
        <w:t xml:space="preserve"> </w:t>
      </w:r>
      <w:r w:rsidRPr="00360F7B">
        <w:rPr>
          <w:rFonts w:cs="Arial"/>
        </w:rPr>
        <w:t>Op. Cit.</w:t>
      </w:r>
    </w:p>
  </w:footnote>
  <w:footnote w:id="9">
    <w:p w:rsidR="00571EF2" w:rsidRPr="00460ED8" w:rsidRDefault="00571EF2">
      <w:pPr>
        <w:pStyle w:val="Textonotapie"/>
        <w:rPr>
          <w:rFonts w:cs="Arial"/>
        </w:rPr>
      </w:pPr>
      <w:r w:rsidRPr="00460ED8">
        <w:rPr>
          <w:rStyle w:val="Refdenotaalpie"/>
        </w:rPr>
        <w:footnoteRef/>
      </w:r>
      <w:r w:rsidRPr="00460ED8">
        <w:t xml:space="preserve"> </w:t>
      </w:r>
      <w:r w:rsidRPr="00460ED8">
        <w:rPr>
          <w:rFonts w:cs="Arial"/>
        </w:rPr>
        <w:t xml:space="preserve">Gujarati D. (2004): </w:t>
      </w:r>
      <w:r w:rsidRPr="00460ED8">
        <w:rPr>
          <w:rFonts w:cs="Arial"/>
          <w:i/>
        </w:rPr>
        <w:t>“Econometría”</w:t>
      </w:r>
      <w:r w:rsidRPr="00460ED8">
        <w:rPr>
          <w:rFonts w:cs="Arial"/>
        </w:rPr>
        <w:t>, México.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2699"/>
    <w:multiLevelType w:val="hybridMultilevel"/>
    <w:tmpl w:val="5AE2EEF8"/>
    <w:lvl w:ilvl="0" w:tplc="C3EE0A3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C1B2985"/>
    <w:multiLevelType w:val="hybridMultilevel"/>
    <w:tmpl w:val="365AAAA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9AE4472"/>
    <w:multiLevelType w:val="hybridMultilevel"/>
    <w:tmpl w:val="25045F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F7"/>
    <w:rsid w:val="00013C2F"/>
    <w:rsid w:val="00030968"/>
    <w:rsid w:val="0004424B"/>
    <w:rsid w:val="00057064"/>
    <w:rsid w:val="00092B1F"/>
    <w:rsid w:val="000B775B"/>
    <w:rsid w:val="00110BB8"/>
    <w:rsid w:val="00116FE5"/>
    <w:rsid w:val="00123DA0"/>
    <w:rsid w:val="001412C0"/>
    <w:rsid w:val="0019244A"/>
    <w:rsid w:val="00193EDB"/>
    <w:rsid w:val="001D506B"/>
    <w:rsid w:val="0021546A"/>
    <w:rsid w:val="00232FEF"/>
    <w:rsid w:val="00256974"/>
    <w:rsid w:val="00263B81"/>
    <w:rsid w:val="0028795C"/>
    <w:rsid w:val="002C354E"/>
    <w:rsid w:val="002D730B"/>
    <w:rsid w:val="00337131"/>
    <w:rsid w:val="003556AA"/>
    <w:rsid w:val="00360F7B"/>
    <w:rsid w:val="003655F5"/>
    <w:rsid w:val="003678FC"/>
    <w:rsid w:val="0038274D"/>
    <w:rsid w:val="003A26C3"/>
    <w:rsid w:val="003B6098"/>
    <w:rsid w:val="00427A43"/>
    <w:rsid w:val="004354BD"/>
    <w:rsid w:val="004450DD"/>
    <w:rsid w:val="00455450"/>
    <w:rsid w:val="00460ED8"/>
    <w:rsid w:val="0046136F"/>
    <w:rsid w:val="004D5D2A"/>
    <w:rsid w:val="004E114D"/>
    <w:rsid w:val="00527BD0"/>
    <w:rsid w:val="00571EF2"/>
    <w:rsid w:val="005C465D"/>
    <w:rsid w:val="005E0515"/>
    <w:rsid w:val="005E3025"/>
    <w:rsid w:val="005F19D3"/>
    <w:rsid w:val="005F1E1C"/>
    <w:rsid w:val="00625CED"/>
    <w:rsid w:val="00671141"/>
    <w:rsid w:val="006C2C94"/>
    <w:rsid w:val="006E0A93"/>
    <w:rsid w:val="006E5211"/>
    <w:rsid w:val="006F4E08"/>
    <w:rsid w:val="00715B76"/>
    <w:rsid w:val="00724900"/>
    <w:rsid w:val="00746523"/>
    <w:rsid w:val="00757502"/>
    <w:rsid w:val="00770A48"/>
    <w:rsid w:val="00796C1E"/>
    <w:rsid w:val="007A2664"/>
    <w:rsid w:val="007D13F4"/>
    <w:rsid w:val="00833434"/>
    <w:rsid w:val="00835D1C"/>
    <w:rsid w:val="008544B6"/>
    <w:rsid w:val="00860DF7"/>
    <w:rsid w:val="00872420"/>
    <w:rsid w:val="00875DDC"/>
    <w:rsid w:val="0088137C"/>
    <w:rsid w:val="008A4878"/>
    <w:rsid w:val="008A6C32"/>
    <w:rsid w:val="008B7726"/>
    <w:rsid w:val="009509E1"/>
    <w:rsid w:val="00955D31"/>
    <w:rsid w:val="009A03B8"/>
    <w:rsid w:val="009C606D"/>
    <w:rsid w:val="009F5B8D"/>
    <w:rsid w:val="00A12599"/>
    <w:rsid w:val="00A436D6"/>
    <w:rsid w:val="00AA033E"/>
    <w:rsid w:val="00AB0E14"/>
    <w:rsid w:val="00AD1E0A"/>
    <w:rsid w:val="00AE74D4"/>
    <w:rsid w:val="00B42455"/>
    <w:rsid w:val="00B65488"/>
    <w:rsid w:val="00B806B2"/>
    <w:rsid w:val="00BF482C"/>
    <w:rsid w:val="00BF59BC"/>
    <w:rsid w:val="00C44298"/>
    <w:rsid w:val="00C50D77"/>
    <w:rsid w:val="00C571D4"/>
    <w:rsid w:val="00C63183"/>
    <w:rsid w:val="00C81B18"/>
    <w:rsid w:val="00CD3086"/>
    <w:rsid w:val="00CE1028"/>
    <w:rsid w:val="00CE6437"/>
    <w:rsid w:val="00CF7368"/>
    <w:rsid w:val="00D0247F"/>
    <w:rsid w:val="00D2762C"/>
    <w:rsid w:val="00D33AD7"/>
    <w:rsid w:val="00D4587E"/>
    <w:rsid w:val="00D62A6E"/>
    <w:rsid w:val="00D66FE2"/>
    <w:rsid w:val="00D86F8B"/>
    <w:rsid w:val="00D93EDE"/>
    <w:rsid w:val="00D97D50"/>
    <w:rsid w:val="00E01565"/>
    <w:rsid w:val="00E044D3"/>
    <w:rsid w:val="00E66C42"/>
    <w:rsid w:val="00EF1596"/>
    <w:rsid w:val="00EF3958"/>
    <w:rsid w:val="00EF67B2"/>
    <w:rsid w:val="00F05405"/>
    <w:rsid w:val="00F17A52"/>
    <w:rsid w:val="00F26CFD"/>
    <w:rsid w:val="00FA32B0"/>
    <w:rsid w:val="00FF5C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129E8-10EE-4EBA-B51F-45BC7CDF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0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DF7"/>
    <w:rPr>
      <w:rFonts w:ascii="Tahoma" w:hAnsi="Tahoma" w:cs="Tahoma"/>
      <w:sz w:val="16"/>
      <w:szCs w:val="16"/>
    </w:rPr>
  </w:style>
  <w:style w:type="paragraph" w:styleId="Textonotapie">
    <w:name w:val="footnote text"/>
    <w:basedOn w:val="Normal"/>
    <w:link w:val="TextonotapieCar"/>
    <w:uiPriority w:val="99"/>
    <w:semiHidden/>
    <w:unhideWhenUsed/>
    <w:rsid w:val="000309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0968"/>
    <w:rPr>
      <w:sz w:val="20"/>
      <w:szCs w:val="20"/>
    </w:rPr>
  </w:style>
  <w:style w:type="character" w:styleId="Refdenotaalpie">
    <w:name w:val="footnote reference"/>
    <w:basedOn w:val="Fuentedeprrafopredeter"/>
    <w:uiPriority w:val="99"/>
    <w:semiHidden/>
    <w:unhideWhenUsed/>
    <w:rsid w:val="00030968"/>
    <w:rPr>
      <w:vertAlign w:val="superscript"/>
    </w:rPr>
  </w:style>
  <w:style w:type="paragraph" w:styleId="Prrafodelista">
    <w:name w:val="List Paragraph"/>
    <w:basedOn w:val="Normal"/>
    <w:uiPriority w:val="34"/>
    <w:qFormat/>
    <w:rsid w:val="00455450"/>
    <w:pPr>
      <w:ind w:left="720"/>
      <w:contextualSpacing/>
    </w:pPr>
  </w:style>
  <w:style w:type="paragraph" w:styleId="Textonotaalfinal">
    <w:name w:val="endnote text"/>
    <w:basedOn w:val="Normal"/>
    <w:link w:val="TextonotaalfinalCar"/>
    <w:uiPriority w:val="99"/>
    <w:semiHidden/>
    <w:unhideWhenUsed/>
    <w:rsid w:val="00CE102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E1028"/>
    <w:rPr>
      <w:sz w:val="20"/>
      <w:szCs w:val="20"/>
    </w:rPr>
  </w:style>
  <w:style w:type="character" w:styleId="Refdenotaalfinal">
    <w:name w:val="endnote reference"/>
    <w:basedOn w:val="Fuentedeprrafopredeter"/>
    <w:uiPriority w:val="99"/>
    <w:semiHidden/>
    <w:unhideWhenUsed/>
    <w:rsid w:val="00CE1028"/>
    <w:rPr>
      <w:vertAlign w:val="superscript"/>
    </w:rPr>
  </w:style>
  <w:style w:type="character" w:styleId="Hipervnculo">
    <w:name w:val="Hyperlink"/>
    <w:basedOn w:val="Fuentedeprrafopredeter"/>
    <w:uiPriority w:val="99"/>
    <w:unhideWhenUsed/>
    <w:rsid w:val="00D0247F"/>
    <w:rPr>
      <w:color w:val="0000FF" w:themeColor="hyperlink"/>
      <w:u w:val="single"/>
    </w:rPr>
  </w:style>
  <w:style w:type="paragraph" w:customStyle="1" w:styleId="capital">
    <w:name w:val="capital"/>
    <w:basedOn w:val="Normal"/>
    <w:rsid w:val="007A266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424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2455"/>
  </w:style>
  <w:style w:type="paragraph" w:styleId="Piedepgina">
    <w:name w:val="footer"/>
    <w:basedOn w:val="Normal"/>
    <w:link w:val="PiedepginaCar"/>
    <w:uiPriority w:val="99"/>
    <w:unhideWhenUsed/>
    <w:rsid w:val="00B424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42886">
      <w:bodyDiv w:val="1"/>
      <w:marLeft w:val="0"/>
      <w:marRight w:val="0"/>
      <w:marTop w:val="0"/>
      <w:marBottom w:val="0"/>
      <w:divBdr>
        <w:top w:val="none" w:sz="0" w:space="0" w:color="auto"/>
        <w:left w:val="none" w:sz="0" w:space="0" w:color="auto"/>
        <w:bottom w:val="none" w:sz="0" w:space="0" w:color="auto"/>
        <w:right w:val="none" w:sz="0" w:space="0" w:color="auto"/>
      </w:divBdr>
    </w:div>
    <w:div w:id="1300307368">
      <w:bodyDiv w:val="1"/>
      <w:marLeft w:val="0"/>
      <w:marRight w:val="0"/>
      <w:marTop w:val="0"/>
      <w:marBottom w:val="0"/>
      <w:divBdr>
        <w:top w:val="none" w:sz="0" w:space="0" w:color="auto"/>
        <w:left w:val="none" w:sz="0" w:space="0" w:color="auto"/>
        <w:bottom w:val="none" w:sz="0" w:space="0" w:color="auto"/>
        <w:right w:val="none" w:sz="0" w:space="0" w:color="auto"/>
      </w:divBdr>
    </w:div>
    <w:div w:id="13507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emf"/><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s://www.indec.gob.a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0" Type="http://schemas.openxmlformats.org/officeDocument/2006/relationships/image" Target="media/image13.png"/><Relationship Id="rId41" Type="http://schemas.openxmlformats.org/officeDocument/2006/relationships/hyperlink" Target="http://www.bcra.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B0F28-D229-40E4-8C17-F1DEC60C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6086</Words>
  <Characters>33476</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Nicolas</cp:lastModifiedBy>
  <cp:revision>2</cp:revision>
  <dcterms:created xsi:type="dcterms:W3CDTF">2018-12-10T21:46:00Z</dcterms:created>
  <dcterms:modified xsi:type="dcterms:W3CDTF">2018-12-10T21:46:00Z</dcterms:modified>
</cp:coreProperties>
</file>